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5B4732">
      <w:pPr>
        <w:snapToGrid w:val="0"/>
        <w:spacing w:before="480" w:after="480"/>
        <w:jc w:val="center"/>
        <w:rPr>
          <w:rFonts w:hint="eastAsia" w:ascii="黑体" w:hAnsi="黑体" w:eastAsia="黑体" w:cs="黑体"/>
          <w:kern w:val="2"/>
          <w:sz w:val="36"/>
          <w:szCs w:val="36"/>
        </w:rPr>
      </w:pPr>
      <w:r>
        <w:rPr>
          <w:rFonts w:hint="eastAsia" w:ascii="黑体" w:hAnsi="黑体" w:eastAsia="黑体" w:cs="黑体"/>
          <w:kern w:val="2"/>
          <w:sz w:val="36"/>
          <w:szCs w:val="36"/>
        </w:rPr>
        <w:t>《食品快速检测质量控制规范》</w:t>
      </w:r>
    </w:p>
    <w:p w14:paraId="66C7081A">
      <w:pPr>
        <w:snapToGrid w:val="0"/>
        <w:spacing w:before="480" w:after="480"/>
        <w:jc w:val="center"/>
        <w:rPr>
          <w:rFonts w:hint="eastAsia" w:ascii="黑体" w:hAnsi="黑体" w:eastAsia="黑体" w:cs="黑体"/>
          <w:sz w:val="32"/>
          <w:szCs w:val="20"/>
        </w:rPr>
      </w:pPr>
      <w:r>
        <w:rPr>
          <w:rFonts w:hint="eastAsia" w:ascii="黑体" w:hAnsi="黑体" w:eastAsia="黑体" w:cs="黑体"/>
          <w:kern w:val="2"/>
          <w:sz w:val="36"/>
          <w:szCs w:val="36"/>
        </w:rPr>
        <w:t>地方标准修订编制说明</w:t>
      </w:r>
    </w:p>
    <w:p w14:paraId="7C8EBD76">
      <w:pPr>
        <w:snapToGrid w:val="0"/>
        <w:spacing w:line="240" w:lineRule="auto"/>
        <w:jc w:val="center"/>
      </w:pPr>
    </w:p>
    <w:p w14:paraId="0B0746EA">
      <w:pPr>
        <w:adjustRightInd/>
        <w:spacing w:line="240" w:lineRule="auto"/>
        <w:textAlignment w:val="auto"/>
        <w:rPr>
          <w:rFonts w:ascii="黑体" w:eastAsia="黑体"/>
          <w:kern w:val="2"/>
          <w:sz w:val="32"/>
          <w:szCs w:val="32"/>
        </w:rPr>
      </w:pPr>
      <w:r>
        <w:rPr>
          <w:rFonts w:hint="eastAsia" w:ascii="黑体" w:eastAsia="黑体"/>
          <w:kern w:val="2"/>
          <w:sz w:val="32"/>
          <w:szCs w:val="32"/>
        </w:rPr>
        <w:t>一、工作简况</w:t>
      </w:r>
    </w:p>
    <w:p w14:paraId="313839FA">
      <w:pPr>
        <w:adjustRightInd/>
        <w:spacing w:line="240" w:lineRule="auto"/>
        <w:textAlignment w:val="auto"/>
        <w:rPr>
          <w:rFonts w:ascii="楷体_GB2312" w:eastAsia="楷体_GB2312"/>
          <w:kern w:val="2"/>
          <w:sz w:val="32"/>
          <w:szCs w:val="32"/>
        </w:rPr>
      </w:pPr>
      <w:r>
        <w:rPr>
          <w:rFonts w:hint="eastAsia" w:ascii="楷体_GB2312" w:eastAsia="楷体_GB2312"/>
          <w:kern w:val="2"/>
          <w:sz w:val="32"/>
          <w:szCs w:val="32"/>
        </w:rPr>
        <w:t>（一）任务来源</w:t>
      </w:r>
    </w:p>
    <w:p w14:paraId="551503C9">
      <w:pPr>
        <w:ind w:firstLine="640" w:firstLineChars="200"/>
        <w:rPr>
          <w:rFonts w:hint="eastAsia" w:ascii="黑体" w:hAnsi="黑体" w:eastAsia="黑体"/>
          <w:sz w:val="24"/>
          <w:highlight w:val="yellow"/>
        </w:rPr>
      </w:pPr>
      <w:r>
        <w:rPr>
          <w:rFonts w:hint="eastAsia" w:ascii="仿宋_GB2312" w:eastAsia="仿宋_GB2312"/>
          <w:bCs/>
          <w:sz w:val="32"/>
          <w:szCs w:val="32"/>
        </w:rPr>
        <w:t>2023年1月2日，由江西省</w:t>
      </w:r>
      <w:r>
        <w:rPr>
          <w:rFonts w:hint="eastAsia" w:ascii="仿宋_GB2312" w:eastAsia="仿宋_GB2312"/>
          <w:bCs/>
          <w:sz w:val="32"/>
          <w:szCs w:val="32"/>
          <w:lang w:eastAsia="zh-CN"/>
        </w:rPr>
        <w:t>检验检测</w:t>
      </w:r>
      <w:r>
        <w:rPr>
          <w:rFonts w:hint="eastAsia" w:ascii="仿宋_GB2312" w:eastAsia="仿宋_GB2312"/>
          <w:bCs/>
          <w:sz w:val="32"/>
          <w:szCs w:val="32"/>
        </w:rPr>
        <w:t>认证总院食品检验检测研究院申请地方标准的立项，根据《江西省市场监督管理局关于下达2024年第一批江西省地方标准制修订计划的通知》（赣市监标</w:t>
      </w:r>
      <w:r>
        <w:rPr>
          <w:rFonts w:ascii="仿宋_GB2312" w:eastAsia="仿宋_GB2312"/>
          <w:bCs/>
          <w:sz w:val="32"/>
          <w:szCs w:val="32"/>
        </w:rPr>
        <w:t>〔</w:t>
      </w:r>
      <w:r>
        <w:rPr>
          <w:rFonts w:hint="eastAsia" w:ascii="仿宋_GB2312" w:eastAsia="仿宋_GB2312"/>
          <w:bCs/>
          <w:sz w:val="32"/>
          <w:szCs w:val="32"/>
        </w:rPr>
        <w:t>2024</w:t>
      </w:r>
      <w:r>
        <w:rPr>
          <w:rFonts w:ascii="仿宋_GB2312" w:eastAsia="仿宋_GB2312"/>
          <w:bCs/>
          <w:sz w:val="32"/>
          <w:szCs w:val="32"/>
        </w:rPr>
        <w:t>〕</w:t>
      </w:r>
      <w:r>
        <w:rPr>
          <w:rFonts w:hint="eastAsia" w:ascii="仿宋_GB2312" w:eastAsia="仿宋_GB2312"/>
          <w:bCs/>
          <w:sz w:val="32"/>
          <w:szCs w:val="32"/>
        </w:rPr>
        <w:t>3号），批准对省地方标准DB 36/T 1337-2022《食品快速检测质量控制规范》进行修订，任务计划编号DB36-2024-1-21。</w:t>
      </w:r>
    </w:p>
    <w:p w14:paraId="223F194D">
      <w:pPr>
        <w:adjustRightInd/>
        <w:spacing w:line="240" w:lineRule="auto"/>
        <w:textAlignment w:val="auto"/>
        <w:rPr>
          <w:rFonts w:ascii="楷体_GB2312" w:eastAsia="楷体_GB2312"/>
          <w:kern w:val="2"/>
          <w:sz w:val="32"/>
          <w:szCs w:val="32"/>
        </w:rPr>
      </w:pPr>
      <w:r>
        <w:rPr>
          <w:rFonts w:hint="eastAsia" w:ascii="楷体_GB2312" w:eastAsia="楷体_GB2312"/>
          <w:kern w:val="2"/>
          <w:sz w:val="32"/>
          <w:szCs w:val="32"/>
        </w:rPr>
        <w:t xml:space="preserve">（二）起草单位 </w:t>
      </w:r>
    </w:p>
    <w:p w14:paraId="69BA6C4C">
      <w:pPr>
        <w:ind w:firstLine="640" w:firstLineChars="200"/>
        <w:rPr>
          <w:rFonts w:ascii="仿宋_GB2312" w:eastAsia="仿宋_GB2312"/>
          <w:bCs/>
          <w:sz w:val="32"/>
          <w:szCs w:val="32"/>
        </w:rPr>
      </w:pPr>
      <w:r>
        <w:rPr>
          <w:rFonts w:hint="eastAsia" w:ascii="仿宋_GB2312" w:eastAsia="仿宋_GB2312"/>
          <w:bCs/>
          <w:sz w:val="32"/>
          <w:szCs w:val="32"/>
        </w:rPr>
        <w:t>江西省检验检测认证总院食品检验检测研究院</w:t>
      </w:r>
    </w:p>
    <w:p w14:paraId="47D85842">
      <w:pPr>
        <w:adjustRightInd/>
        <w:spacing w:line="240" w:lineRule="auto"/>
        <w:textAlignment w:val="auto"/>
        <w:rPr>
          <w:rFonts w:ascii="黑体" w:eastAsia="黑体"/>
          <w:kern w:val="2"/>
          <w:sz w:val="32"/>
          <w:szCs w:val="32"/>
        </w:rPr>
      </w:pPr>
      <w:r>
        <w:rPr>
          <w:rFonts w:hint="eastAsia" w:ascii="黑体" w:eastAsia="黑体"/>
          <w:kern w:val="2"/>
          <w:sz w:val="32"/>
          <w:szCs w:val="32"/>
        </w:rPr>
        <w:t>二、制定（修订）标准的必要性和意义</w:t>
      </w:r>
    </w:p>
    <w:p w14:paraId="51BEA6FB">
      <w:pPr>
        <w:rPr>
          <w:rFonts w:ascii="仿宋_GB2312" w:eastAsia="仿宋_GB2312"/>
          <w:sz w:val="32"/>
          <w:szCs w:val="32"/>
        </w:rPr>
      </w:pPr>
      <w:r>
        <w:rPr>
          <w:rFonts w:hint="eastAsia" w:ascii="仿宋_GB2312" w:eastAsia="仿宋_GB2312"/>
          <w:sz w:val="32"/>
          <w:szCs w:val="32"/>
        </w:rPr>
        <w:t>1、食品快速检测实验室质量控制的必要性</w:t>
      </w:r>
    </w:p>
    <w:p w14:paraId="1A18BE35">
      <w:pPr>
        <w:spacing w:line="360" w:lineRule="auto"/>
        <w:ind w:firstLine="640" w:firstLineChars="200"/>
        <w:rPr>
          <w:rFonts w:ascii="仿宋_GB2312" w:eastAsia="仿宋_GB2312"/>
          <w:sz w:val="32"/>
          <w:szCs w:val="32"/>
        </w:rPr>
      </w:pPr>
      <w:r>
        <w:rPr>
          <w:rFonts w:hint="eastAsia" w:ascii="仿宋_GB2312" w:eastAsia="仿宋_GB2312"/>
          <w:sz w:val="32"/>
          <w:szCs w:val="32"/>
        </w:rPr>
        <w:t>2017年至今，国家食品安全监管部门逐步推动快检技术在食品安全领域的应用。国家市场监督管理总局2</w:t>
      </w:r>
      <w:r>
        <w:rPr>
          <w:rFonts w:ascii="仿宋_GB2312" w:eastAsia="仿宋_GB2312"/>
          <w:sz w:val="32"/>
          <w:szCs w:val="32"/>
        </w:rPr>
        <w:t>023</w:t>
      </w:r>
      <w:r>
        <w:rPr>
          <w:rFonts w:hint="eastAsia" w:ascii="仿宋_GB2312" w:eastAsia="仿宋_GB2312"/>
          <w:sz w:val="32"/>
          <w:szCs w:val="32"/>
        </w:rPr>
        <w:t>年文件《关于规范食品快速检测使用的意见》（国市监食检规〔2023〕1号），规定市场监管部门在日常监管、专项整治、活动保障等的现场检查工作中，依法使用国家规定的食品快检方法开展抽查检测。“食品快检抽查检测结果表明可能不符合食品安全标准的，被抽查食品经营者应暂停销售相关产品；属地市场监管部门应及时跟进监督检查或委托符合法律规定的食品检验机构进行检验，及时防控食品安全风险。抽查检测结果确定有关食品不符合食品安全标准的，可以作为行政处罚的依据。”</w:t>
      </w:r>
    </w:p>
    <w:p w14:paraId="4245B49F">
      <w:pPr>
        <w:spacing w:line="360" w:lineRule="auto"/>
        <w:ind w:firstLine="640" w:firstLineChars="200"/>
        <w:rPr>
          <w:rFonts w:ascii="仿宋_GB2312" w:eastAsia="仿宋_GB2312"/>
          <w:sz w:val="32"/>
          <w:szCs w:val="32"/>
        </w:rPr>
      </w:pPr>
      <w:r>
        <w:rPr>
          <w:rFonts w:hint="eastAsia" w:ascii="仿宋_GB2312" w:eastAsia="仿宋_GB2312"/>
          <w:sz w:val="32"/>
          <w:szCs w:val="32"/>
        </w:rPr>
        <w:t>为了充分展现监管的公平公正性，食品安全监管部门必须充分保障快检结果正确有效。在食品安全快检执行过程中，所有检测流程需要严格依照规范操作，以达到控制快检过程质量的目标。采用规范文件对快检过程进行约束，能有效减少操作不规范的事件发生，最大程度的保证快检结果的公平性。</w:t>
      </w:r>
    </w:p>
    <w:p w14:paraId="072F088A">
      <w:pPr>
        <w:rPr>
          <w:rFonts w:ascii="仿宋_GB2312" w:eastAsia="仿宋_GB2312"/>
          <w:sz w:val="32"/>
          <w:szCs w:val="32"/>
        </w:rPr>
      </w:pPr>
      <w:r>
        <w:rPr>
          <w:rFonts w:hint="eastAsia" w:ascii="仿宋_GB2312" w:eastAsia="仿宋_GB2312"/>
          <w:sz w:val="32"/>
          <w:szCs w:val="32"/>
        </w:rPr>
        <w:t>2、修订DB 36/T 1337-2022《食品快速检测实验室质量控制规范》的必要性</w:t>
      </w:r>
    </w:p>
    <w:p w14:paraId="32674244">
      <w:pPr>
        <w:spacing w:line="360" w:lineRule="auto"/>
        <w:ind w:firstLine="640" w:firstLineChars="200"/>
        <w:rPr>
          <w:rFonts w:ascii="仿宋_GB2312" w:eastAsia="仿宋_GB2312"/>
          <w:sz w:val="32"/>
          <w:szCs w:val="32"/>
        </w:rPr>
      </w:pPr>
      <w:r>
        <w:rPr>
          <w:rFonts w:hint="eastAsia" w:ascii="仿宋_GB2312" w:eastAsia="仿宋_GB2312"/>
          <w:sz w:val="32"/>
          <w:szCs w:val="32"/>
        </w:rPr>
        <w:t>江西省检验检测认证总院食品检验检测研究院于202</w:t>
      </w:r>
      <w:r>
        <w:rPr>
          <w:rFonts w:ascii="仿宋_GB2312" w:eastAsia="仿宋_GB2312"/>
          <w:sz w:val="32"/>
          <w:szCs w:val="32"/>
        </w:rPr>
        <w:t>2</w:t>
      </w:r>
      <w:r>
        <w:rPr>
          <w:rFonts w:hint="eastAsia" w:ascii="仿宋_GB2312" w:eastAsia="仿宋_GB2312"/>
          <w:sz w:val="32"/>
          <w:szCs w:val="32"/>
        </w:rPr>
        <w:t>年12月修订的</w:t>
      </w:r>
      <w:r>
        <w:rPr>
          <w:rFonts w:ascii="仿宋_GB2312" w:eastAsia="仿宋_GB2312"/>
          <w:sz w:val="32"/>
          <w:szCs w:val="32"/>
        </w:rPr>
        <w:t>DB36/T 1337-2022</w:t>
      </w:r>
      <w:r>
        <w:rPr>
          <w:rFonts w:hint="eastAsia" w:ascii="仿宋_GB2312" w:eastAsia="仿宋_GB2312"/>
          <w:sz w:val="32"/>
          <w:szCs w:val="32"/>
        </w:rPr>
        <w:t>《食品快速检测实验室质量控制规范》作为我省快检工作实施的规范文件，对快检过程的质量控制进行标准化，能有效提高结果质量。在该标准的实施过程中表现出了它的不足之处，对样品、检测和数据处理、结果质量控制以及标准物质的质量缺少有效监管、与快检实验室实际工作差别较大等。经过充分考虑和实际工作的调研，根据基层快检实验室技术人员反馈和有关专家的建议，该标准的部分条款应进行修订。</w:t>
      </w:r>
    </w:p>
    <w:p w14:paraId="3E660405">
      <w:pPr>
        <w:adjustRightInd/>
        <w:spacing w:line="240" w:lineRule="auto"/>
        <w:textAlignment w:val="auto"/>
        <w:rPr>
          <w:rFonts w:ascii="黑体" w:eastAsia="黑体"/>
          <w:kern w:val="2"/>
          <w:sz w:val="32"/>
          <w:szCs w:val="32"/>
        </w:rPr>
      </w:pPr>
      <w:r>
        <w:rPr>
          <w:rFonts w:hint="eastAsia" w:ascii="黑体" w:eastAsia="黑体"/>
          <w:kern w:val="2"/>
          <w:sz w:val="32"/>
          <w:szCs w:val="32"/>
        </w:rPr>
        <w:t>三、主要起草过程</w:t>
      </w:r>
    </w:p>
    <w:p w14:paraId="4498B120">
      <w:pPr>
        <w:snapToGrid w:val="0"/>
        <w:spacing w:line="540" w:lineRule="exact"/>
        <w:ind w:firstLine="640" w:firstLineChars="200"/>
        <w:rPr>
          <w:rFonts w:hint="eastAsia" w:ascii="仿宋_GB2312" w:hAnsi="仿宋_GB2312" w:eastAsia="仿宋_GB2312" w:cs="宋体"/>
          <w:sz w:val="32"/>
          <w:szCs w:val="32"/>
        </w:rPr>
      </w:pPr>
      <w:r>
        <w:rPr>
          <w:rFonts w:hint="eastAsia" w:ascii="仿宋_GB2312" w:hAnsi="仿宋_GB2312" w:eastAsia="仿宋_GB2312" w:cs="宋体"/>
          <w:sz w:val="32"/>
          <w:szCs w:val="32"/>
        </w:rPr>
        <w:t>本标准的起草小组由</w:t>
      </w:r>
      <w:r>
        <w:rPr>
          <w:rFonts w:hint="eastAsia" w:ascii="仿宋_GB2312" w:eastAsia="仿宋_GB2312"/>
          <w:sz w:val="32"/>
          <w:szCs w:val="32"/>
        </w:rPr>
        <w:t>江西省检验检测认证总院食品检验检测研究院牵头</w:t>
      </w:r>
      <w:r>
        <w:rPr>
          <w:rFonts w:hint="eastAsia" w:ascii="仿宋_GB2312" w:hAnsi="仿宋_GB2312" w:eastAsia="仿宋_GB2312" w:cs="宋体"/>
          <w:sz w:val="32"/>
          <w:szCs w:val="32"/>
        </w:rPr>
        <w:t>组建，</w:t>
      </w:r>
      <w:r>
        <w:rPr>
          <w:rFonts w:hint="eastAsia" w:ascii="仿宋_GB2312" w:eastAsia="仿宋_GB2312"/>
          <w:sz w:val="32"/>
          <w:szCs w:val="32"/>
        </w:rPr>
        <w:t>整个起草过程大致经历了以下阶段：</w:t>
      </w:r>
    </w:p>
    <w:p w14:paraId="24887544">
      <w:pPr>
        <w:snapToGrid w:val="0"/>
        <w:spacing w:line="540" w:lineRule="exact"/>
        <w:ind w:firstLine="640" w:firstLineChars="200"/>
        <w:rPr>
          <w:rFonts w:hint="eastAsia" w:ascii="仿宋_GB2312" w:hAnsi="仿宋_GB2312" w:eastAsia="仿宋_GB2312" w:cs="宋体"/>
          <w:sz w:val="32"/>
          <w:szCs w:val="32"/>
        </w:rPr>
      </w:pPr>
      <w:r>
        <w:rPr>
          <w:rFonts w:ascii="仿宋_GB2312" w:hAnsi="仿宋_GB2312" w:eastAsia="仿宋_GB2312" w:cs="宋体"/>
          <w:sz w:val="32"/>
          <w:szCs w:val="32"/>
        </w:rPr>
        <w:t>（1）</w:t>
      </w:r>
      <w:r>
        <w:rPr>
          <w:rFonts w:hint="eastAsia" w:ascii="仿宋_GB2312" w:hAnsi="仿宋_GB2312" w:eastAsia="仿宋_GB2312" w:cs="宋体"/>
          <w:sz w:val="32"/>
          <w:szCs w:val="32"/>
        </w:rPr>
        <w:t>成立起草小组</w:t>
      </w:r>
    </w:p>
    <w:p w14:paraId="6AB4FB12">
      <w:pPr>
        <w:ind w:firstLine="640" w:firstLineChars="200"/>
        <w:rPr>
          <w:rFonts w:ascii="仿宋_GB2312" w:eastAsia="仿宋_GB2312"/>
          <w:sz w:val="32"/>
          <w:szCs w:val="32"/>
        </w:rPr>
      </w:pPr>
      <w:r>
        <w:rPr>
          <w:rFonts w:hint="eastAsia" w:ascii="仿宋_GB2312" w:eastAsia="仿宋_GB2312"/>
          <w:sz w:val="32"/>
          <w:szCs w:val="32"/>
        </w:rPr>
        <w:t>由江西省检验检测认证总院食品检验检测研究院牵头，精选技术骨干组成了起草小组，拟定了工作方案并进行了人员分工。</w:t>
      </w:r>
    </w:p>
    <w:p w14:paraId="66429BF9">
      <w:pPr>
        <w:snapToGrid w:val="0"/>
        <w:spacing w:line="540" w:lineRule="exact"/>
        <w:ind w:firstLine="640" w:firstLineChars="200"/>
        <w:rPr>
          <w:rFonts w:hint="eastAsia" w:ascii="仿宋_GB2312" w:hAnsi="仿宋_GB2312" w:eastAsia="仿宋_GB2312" w:cs="宋体"/>
          <w:sz w:val="32"/>
          <w:szCs w:val="32"/>
        </w:rPr>
      </w:pPr>
      <w:r>
        <w:rPr>
          <w:rFonts w:ascii="仿宋_GB2312" w:hAnsi="仿宋_GB2312" w:eastAsia="仿宋_GB2312" w:cs="宋体"/>
          <w:sz w:val="32"/>
          <w:szCs w:val="32"/>
        </w:rPr>
        <w:t>（</w:t>
      </w:r>
      <w:r>
        <w:rPr>
          <w:rFonts w:hint="eastAsia" w:ascii="仿宋_GB2312" w:hAnsi="仿宋_GB2312" w:eastAsia="仿宋_GB2312" w:cs="宋体"/>
          <w:sz w:val="32"/>
          <w:szCs w:val="32"/>
        </w:rPr>
        <w:t>2</w:t>
      </w:r>
      <w:r>
        <w:rPr>
          <w:rFonts w:ascii="仿宋_GB2312" w:hAnsi="仿宋_GB2312" w:eastAsia="仿宋_GB2312" w:cs="宋体"/>
          <w:sz w:val="32"/>
          <w:szCs w:val="32"/>
        </w:rPr>
        <w:t>）调研与材料收集</w:t>
      </w:r>
    </w:p>
    <w:p w14:paraId="24667D92">
      <w:pPr>
        <w:snapToGrid w:val="0"/>
        <w:spacing w:line="540" w:lineRule="exact"/>
        <w:ind w:firstLine="640" w:firstLineChars="200"/>
        <w:rPr>
          <w:rFonts w:ascii="仿宋_GB2312" w:eastAsia="仿宋_GB2312"/>
          <w:sz w:val="32"/>
          <w:szCs w:val="32"/>
        </w:rPr>
      </w:pPr>
      <w:r>
        <w:rPr>
          <w:rFonts w:hint="eastAsia" w:ascii="仿宋_GB2312" w:eastAsia="仿宋_GB2312"/>
          <w:sz w:val="32"/>
          <w:szCs w:val="32"/>
        </w:rPr>
        <w:t>对标准内容进行调研、论证，收集相关文献资料，开展食品快检实验室质量控制因素的研究。主要参考各种常规实验室质量控制规范，完成前期调研和资料收集工作。召开标准起草研讨会，对标准科学性、可操作性进行论证，对前期调研收集的资料进行筛选，确定标准起草的主要内容。</w:t>
      </w:r>
    </w:p>
    <w:p w14:paraId="0AEC02EA">
      <w:pPr>
        <w:snapToGrid w:val="0"/>
        <w:spacing w:line="540" w:lineRule="exact"/>
        <w:ind w:firstLine="640" w:firstLineChars="200"/>
        <w:rPr>
          <w:rFonts w:hint="eastAsia" w:ascii="仿宋_GB2312" w:hAnsi="仿宋_GB2312" w:eastAsia="仿宋_GB2312" w:cs="宋体"/>
          <w:sz w:val="32"/>
          <w:szCs w:val="32"/>
        </w:rPr>
      </w:pPr>
      <w:r>
        <w:rPr>
          <w:rFonts w:ascii="仿宋_GB2312" w:hAnsi="仿宋_GB2312" w:eastAsia="仿宋_GB2312" w:cs="宋体"/>
          <w:sz w:val="32"/>
          <w:szCs w:val="32"/>
        </w:rPr>
        <w:t>（</w:t>
      </w:r>
      <w:r>
        <w:rPr>
          <w:rFonts w:hint="eastAsia" w:ascii="仿宋_GB2312" w:hAnsi="仿宋_GB2312" w:eastAsia="仿宋_GB2312" w:cs="宋体"/>
          <w:sz w:val="32"/>
          <w:szCs w:val="32"/>
        </w:rPr>
        <w:t>3</w:t>
      </w:r>
      <w:r>
        <w:rPr>
          <w:rFonts w:ascii="仿宋_GB2312" w:hAnsi="仿宋_GB2312" w:eastAsia="仿宋_GB2312" w:cs="宋体"/>
          <w:sz w:val="32"/>
          <w:szCs w:val="32"/>
        </w:rPr>
        <w:t>）</w:t>
      </w:r>
      <w:r>
        <w:rPr>
          <w:rFonts w:hint="eastAsia" w:ascii="仿宋_GB2312" w:hAnsi="仿宋_GB2312" w:eastAsia="仿宋_GB2312" w:cs="宋体"/>
          <w:sz w:val="32"/>
          <w:szCs w:val="32"/>
        </w:rPr>
        <w:t>标准编写与立项</w:t>
      </w:r>
    </w:p>
    <w:p w14:paraId="1B387951">
      <w:pPr>
        <w:snapToGrid w:val="0"/>
        <w:spacing w:line="540" w:lineRule="exact"/>
        <w:ind w:firstLine="640" w:firstLineChars="200"/>
        <w:rPr>
          <w:rFonts w:ascii="仿宋_GB2312" w:eastAsia="仿宋_GB2312"/>
          <w:sz w:val="32"/>
          <w:szCs w:val="32"/>
        </w:rPr>
      </w:pPr>
      <w:r>
        <w:rPr>
          <w:rFonts w:hint="eastAsia" w:ascii="仿宋_GB2312" w:eastAsia="仿宋_GB2312"/>
          <w:sz w:val="32"/>
          <w:szCs w:val="32"/>
        </w:rPr>
        <w:t>标准起草小组通过查阅相关的法律法规、文件资料，根据标准化相关规范性文件，完成标准草案和项目建议书。由省市场监督管理局审核后申请立项，顺利通过立项评估会，并于2024年1月由省市场监督管理局下达立项计划。</w:t>
      </w:r>
    </w:p>
    <w:p w14:paraId="78238502">
      <w:pPr>
        <w:snapToGrid w:val="0"/>
        <w:spacing w:line="540" w:lineRule="exact"/>
        <w:ind w:firstLine="640" w:firstLineChars="200"/>
        <w:rPr>
          <w:rFonts w:hint="eastAsia" w:ascii="仿宋_GB2312" w:hAnsi="仿宋_GB2312" w:eastAsia="仿宋_GB2312" w:cs="宋体"/>
          <w:sz w:val="32"/>
          <w:szCs w:val="32"/>
        </w:rPr>
      </w:pPr>
      <w:r>
        <w:rPr>
          <w:rFonts w:ascii="仿宋_GB2312" w:hAnsi="仿宋_GB2312" w:eastAsia="仿宋_GB2312" w:cs="宋体"/>
          <w:sz w:val="32"/>
          <w:szCs w:val="32"/>
        </w:rPr>
        <w:t>（</w:t>
      </w:r>
      <w:r>
        <w:rPr>
          <w:rFonts w:hint="eastAsia" w:ascii="仿宋_GB2312" w:hAnsi="仿宋_GB2312" w:eastAsia="仿宋_GB2312" w:cs="宋体"/>
          <w:sz w:val="32"/>
          <w:szCs w:val="32"/>
        </w:rPr>
        <w:t>4</w:t>
      </w:r>
      <w:r>
        <w:rPr>
          <w:rFonts w:ascii="仿宋_GB2312" w:hAnsi="仿宋_GB2312" w:eastAsia="仿宋_GB2312" w:cs="宋体"/>
          <w:sz w:val="32"/>
          <w:szCs w:val="32"/>
        </w:rPr>
        <w:t>）</w:t>
      </w:r>
      <w:r>
        <w:rPr>
          <w:rFonts w:hint="eastAsia" w:ascii="仿宋_GB2312" w:hAnsi="仿宋_GB2312" w:eastAsia="仿宋_GB2312" w:cs="宋体"/>
          <w:sz w:val="32"/>
          <w:szCs w:val="32"/>
        </w:rPr>
        <w:t>标准研讨及完善</w:t>
      </w:r>
    </w:p>
    <w:p w14:paraId="05B28D86">
      <w:pPr>
        <w:pStyle w:val="2"/>
        <w:adjustRightInd w:val="0"/>
        <w:snapToGrid w:val="0"/>
        <w:spacing w:line="540" w:lineRule="exact"/>
        <w:ind w:firstLine="640"/>
      </w:pPr>
      <w:r>
        <w:rPr>
          <w:rFonts w:hint="eastAsia" w:ascii="仿宋_GB2312" w:hAnsi="Times New Roman" w:eastAsia="仿宋_GB2312"/>
          <w:kern w:val="0"/>
          <w:sz w:val="32"/>
          <w:szCs w:val="32"/>
        </w:rPr>
        <w:t>为进一步完善标准内容，标准起草小组多次组织召开研讨会，与南昌大学、厦门大学、企业等单位的专家进行了讨论，对标准文本进行了多轮修改和完善。征询了20家从事</w:t>
      </w:r>
      <w:r>
        <w:rPr>
          <w:rFonts w:hint="eastAsia" w:ascii="仿宋_GB2312" w:eastAsia="仿宋_GB2312"/>
          <w:sz w:val="32"/>
          <w:szCs w:val="32"/>
        </w:rPr>
        <w:t>食品快速检测相关工作和研究的</w:t>
      </w:r>
      <w:r>
        <w:rPr>
          <w:rFonts w:hint="eastAsia" w:ascii="仿宋_GB2312" w:hAnsi="Times New Roman" w:eastAsia="仿宋_GB2312"/>
          <w:kern w:val="0"/>
          <w:sz w:val="32"/>
          <w:szCs w:val="32"/>
        </w:rPr>
        <w:t>企业</w:t>
      </w:r>
      <w:r>
        <w:rPr>
          <w:rFonts w:hint="eastAsia" w:ascii="仿宋_GB2312" w:hAnsi="Times New Roman" w:eastAsia="仿宋_GB2312"/>
          <w:color w:val="000000"/>
          <w:sz w:val="32"/>
          <w:szCs w:val="32"/>
        </w:rPr>
        <w:t>、</w:t>
      </w:r>
      <w:r>
        <w:rPr>
          <w:rFonts w:hint="eastAsia" w:ascii="仿宋_GB2312" w:hAnsi="Times New Roman" w:eastAsia="仿宋_GB2312"/>
          <w:kern w:val="0"/>
          <w:sz w:val="32"/>
          <w:szCs w:val="32"/>
        </w:rPr>
        <w:t>科研院所、</w:t>
      </w:r>
      <w:r>
        <w:rPr>
          <w:rFonts w:hint="eastAsia" w:ascii="仿宋_GB2312" w:hAnsi="Times New Roman" w:eastAsia="仿宋_GB2312"/>
          <w:color w:val="000000"/>
          <w:sz w:val="32"/>
          <w:szCs w:val="32"/>
        </w:rPr>
        <w:t>检验检测机构</w:t>
      </w:r>
      <w:r>
        <w:rPr>
          <w:rFonts w:hint="eastAsia" w:ascii="仿宋_GB2312" w:hAnsi="Times New Roman" w:eastAsia="仿宋_GB2312"/>
          <w:kern w:val="0"/>
          <w:sz w:val="32"/>
          <w:szCs w:val="32"/>
        </w:rPr>
        <w:t>人员的意见。不断完善标准内容，初步形成征求意见稿。</w:t>
      </w:r>
    </w:p>
    <w:p w14:paraId="6A2028BD">
      <w:pPr>
        <w:adjustRightInd/>
        <w:spacing w:line="240" w:lineRule="auto"/>
        <w:textAlignment w:val="auto"/>
        <w:rPr>
          <w:rFonts w:ascii="黑体" w:eastAsia="黑体"/>
          <w:kern w:val="2"/>
          <w:sz w:val="32"/>
          <w:szCs w:val="32"/>
        </w:rPr>
      </w:pPr>
      <w:r>
        <w:rPr>
          <w:rFonts w:hint="eastAsia" w:ascii="黑体" w:eastAsia="黑体"/>
          <w:kern w:val="2"/>
          <w:sz w:val="32"/>
          <w:szCs w:val="32"/>
        </w:rPr>
        <w:t>四、</w:t>
      </w:r>
      <w:bookmarkStart w:id="0" w:name="_Hlk170480197"/>
      <w:r>
        <w:rPr>
          <w:rFonts w:hint="eastAsia" w:ascii="黑体" w:eastAsia="黑体"/>
          <w:kern w:val="2"/>
          <w:sz w:val="32"/>
          <w:szCs w:val="32"/>
        </w:rPr>
        <w:t>制定（修订）</w:t>
      </w:r>
      <w:bookmarkEnd w:id="0"/>
      <w:r>
        <w:rPr>
          <w:rFonts w:hint="eastAsia" w:ascii="黑体" w:eastAsia="黑体"/>
          <w:kern w:val="2"/>
          <w:sz w:val="32"/>
          <w:szCs w:val="32"/>
        </w:rPr>
        <w:t>标准的原则和依据，与现行法律、法规</w:t>
      </w:r>
      <w:bookmarkStart w:id="1" w:name="_GoBack"/>
      <w:bookmarkEnd w:id="1"/>
      <w:r>
        <w:rPr>
          <w:rFonts w:hint="eastAsia" w:ascii="黑体" w:eastAsia="黑体"/>
          <w:kern w:val="2"/>
          <w:sz w:val="32"/>
          <w:szCs w:val="32"/>
        </w:rPr>
        <w:t>、标准的关系</w:t>
      </w:r>
    </w:p>
    <w:p w14:paraId="6EC7B77E">
      <w:pPr>
        <w:ind w:firstLine="640" w:firstLineChars="200"/>
        <w:rPr>
          <w:rFonts w:ascii="仿宋_GB2312" w:eastAsia="仿宋_GB2312"/>
          <w:sz w:val="32"/>
          <w:szCs w:val="32"/>
        </w:rPr>
      </w:pPr>
      <w:r>
        <w:rPr>
          <w:rFonts w:hint="eastAsia" w:ascii="仿宋_GB2312" w:eastAsia="仿宋_GB2312"/>
          <w:sz w:val="32"/>
          <w:szCs w:val="32"/>
        </w:rPr>
        <w:t>制定（修订）标准的原则和依据。《</w:t>
      </w:r>
      <w:r>
        <w:rPr>
          <w:rFonts w:hint="eastAsia" w:ascii="仿宋_GB2312" w:eastAsia="仿宋_GB2312"/>
          <w:bCs/>
          <w:sz w:val="32"/>
          <w:szCs w:val="32"/>
        </w:rPr>
        <w:t>食品快速检测实验室质量控制规范</w:t>
      </w:r>
      <w:r>
        <w:rPr>
          <w:rFonts w:hint="eastAsia" w:ascii="仿宋_GB2312" w:eastAsia="仿宋_GB2312"/>
          <w:sz w:val="32"/>
          <w:szCs w:val="32"/>
        </w:rPr>
        <w:t>》参考国内关于实验室质量控制的相关标准，主要包括《GB/T 27404-2008 实验室质量控制规范 食品理化检测</w:t>
      </w:r>
      <w:r>
        <w:rPr>
          <w:rFonts w:hint="eastAsia" w:ascii="仿宋_GB2312" w:eastAsia="仿宋_GB2312"/>
          <w:sz w:val="32"/>
          <w:szCs w:val="32"/>
          <w:lang w:eastAsia="zh-CN"/>
        </w:rPr>
        <w:t>》《</w:t>
      </w:r>
      <w:r>
        <w:rPr>
          <w:rFonts w:hint="eastAsia" w:ascii="仿宋_GB2312" w:eastAsia="仿宋_GB2312"/>
          <w:sz w:val="32"/>
          <w:szCs w:val="32"/>
        </w:rPr>
        <w:t>GB/T 27403-2008 实验室质量控制规范 食品分子生物学检测》等。与原标准相比，此次修订充分吸收国家市场监督管理总局2023年的文件《关于规范食品快速检测使用的意见》（国市监食检规〔2023〕1号）的有关意见，对标准文本中样品、检测和数据处理、结果质量控制以及标准物质的质量进行了重新梳理和补充。</w:t>
      </w:r>
    </w:p>
    <w:p w14:paraId="7ED75EFF">
      <w:pPr>
        <w:ind w:firstLine="640" w:firstLineChars="200"/>
        <w:rPr>
          <w:rFonts w:ascii="仿宋_GB2312" w:eastAsia="仿宋_GB2312"/>
          <w:sz w:val="32"/>
          <w:szCs w:val="32"/>
        </w:rPr>
      </w:pPr>
      <w:r>
        <w:rPr>
          <w:rFonts w:hint="eastAsia" w:ascii="仿宋_GB2312" w:eastAsia="仿宋_GB2312"/>
          <w:sz w:val="32"/>
          <w:szCs w:val="32"/>
        </w:rPr>
        <w:t>与我国有关法律法规的关系。本标准的制定主要参考了GB/T 27404《实验室质量控制规范 食品理化检测》中的相关内容，对适用于食品安全快检实验室质量控制要求进行具体化的规定。并且严格遵循《中华人民共和国食品安全法》及其实施条例、《中华人民共和国标准化法》及其实施条例等我国有关法律法规、部门规章和文件的规定及要求。本地方标准是规范食品快速检测行为的标准，不在《</w:t>
      </w:r>
      <w:r>
        <w:rPr>
          <w:rFonts w:hint="eastAsia" w:ascii="仿宋_GB2312" w:eastAsia="仿宋_GB2312"/>
          <w:sz w:val="32"/>
          <w:szCs w:val="32"/>
          <w:lang w:eastAsia="zh-CN"/>
        </w:rPr>
        <w:t>中华人民共和国食品安全法</w:t>
      </w:r>
      <w:r>
        <w:rPr>
          <w:rFonts w:hint="eastAsia" w:ascii="仿宋_GB2312" w:eastAsia="仿宋_GB2312"/>
          <w:sz w:val="32"/>
          <w:szCs w:val="32"/>
        </w:rPr>
        <w:t>》规定的范围内，不涉及食品安全的具体内容。</w:t>
      </w:r>
    </w:p>
    <w:p w14:paraId="27645127">
      <w:pPr>
        <w:ind w:firstLine="640" w:firstLineChars="200"/>
        <w:rPr>
          <w:rFonts w:ascii="仿宋_GB2312" w:eastAsia="仿宋_GB2312"/>
          <w:sz w:val="32"/>
          <w:szCs w:val="32"/>
        </w:rPr>
      </w:pPr>
      <w:r>
        <w:rPr>
          <w:rFonts w:hint="eastAsia" w:ascii="仿宋_GB2312" w:eastAsia="仿宋_GB2312"/>
          <w:sz w:val="32"/>
          <w:szCs w:val="32"/>
        </w:rPr>
        <w:t>与其他标准的关系。截至目前，查找到有关食品快速检验实验室质量控制的相关标准有2项，安徽省地方标准《食用农产品快速检测实验室质量控制体系规范》（DB34/T 4432-2023）和广东省深圳市地方标准《食品快速检测质量控制指南》（DB4403/T 93），对快检实验室管理具有借鉴和指导作用，该标准在修订过程中与上述标准相协调，并充分吸收了国家市场监督管理总局2023年的文件《关于规范食品快速检测使用的意见》（国市监食检规〔2023〕1号）中关于食品快速检测实验室管理的有关意见，结合江西省实际情况修订此标准。</w:t>
      </w:r>
    </w:p>
    <w:p w14:paraId="4E8A0A07">
      <w:pPr>
        <w:adjustRightInd/>
        <w:spacing w:line="240" w:lineRule="auto"/>
        <w:textAlignment w:val="auto"/>
        <w:rPr>
          <w:rFonts w:ascii="黑体" w:eastAsia="黑体"/>
          <w:kern w:val="2"/>
          <w:sz w:val="32"/>
          <w:szCs w:val="32"/>
        </w:rPr>
      </w:pPr>
      <w:r>
        <w:rPr>
          <w:rFonts w:hint="eastAsia" w:ascii="黑体" w:eastAsia="黑体"/>
          <w:kern w:val="2"/>
          <w:sz w:val="32"/>
          <w:szCs w:val="32"/>
        </w:rPr>
        <w:t>五、主要条款的说明</w:t>
      </w:r>
    </w:p>
    <w:p w14:paraId="20AF859D">
      <w:pPr>
        <w:ind w:firstLine="640" w:firstLineChars="200"/>
        <w:rPr>
          <w:rFonts w:ascii="仿宋_GB2312" w:eastAsia="仿宋_GB2312"/>
          <w:sz w:val="32"/>
          <w:szCs w:val="32"/>
        </w:rPr>
      </w:pPr>
      <w:r>
        <w:rPr>
          <w:rFonts w:hint="eastAsia" w:ascii="仿宋_GB2312" w:eastAsia="仿宋_GB2312"/>
          <w:sz w:val="32"/>
          <w:szCs w:val="32"/>
        </w:rPr>
        <w:t>本标准以食品检验常规实验室GB/T 27404《实验室质量控制规范 食品理化检测》为主要参考，从适用于食品安全快检的实际情况出发，制定食品快速检测实验室质量控制规范。</w:t>
      </w:r>
    </w:p>
    <w:p w14:paraId="08A58E10">
      <w:pPr>
        <w:rPr>
          <w:rFonts w:ascii="仿宋_GB2312" w:eastAsia="仿宋_GB2312"/>
          <w:sz w:val="32"/>
          <w:szCs w:val="32"/>
        </w:rPr>
      </w:pPr>
      <w:r>
        <w:rPr>
          <w:rFonts w:hint="eastAsia" w:ascii="仿宋_GB2312" w:eastAsia="仿宋_GB2312"/>
          <w:sz w:val="32"/>
          <w:szCs w:val="32"/>
        </w:rPr>
        <w:t>1、范围</w:t>
      </w:r>
    </w:p>
    <w:p w14:paraId="5247ADDD">
      <w:pPr>
        <w:ind w:firstLine="640" w:firstLineChars="200"/>
        <w:rPr>
          <w:rFonts w:ascii="仿宋_GB2312" w:eastAsia="仿宋_GB2312"/>
          <w:sz w:val="32"/>
          <w:szCs w:val="32"/>
        </w:rPr>
      </w:pPr>
      <w:r>
        <w:rPr>
          <w:rFonts w:hint="eastAsia" w:ascii="仿宋_GB2312" w:eastAsia="仿宋_GB2312"/>
          <w:sz w:val="32"/>
          <w:szCs w:val="32"/>
        </w:rPr>
        <w:t>本文件规定了食品快速检测实验室检测质量控制要求。</w:t>
      </w:r>
    </w:p>
    <w:p w14:paraId="22E5DE04">
      <w:pPr>
        <w:ind w:firstLine="640" w:firstLineChars="200"/>
        <w:rPr>
          <w:rFonts w:ascii="仿宋_GB2312" w:eastAsia="仿宋_GB2312"/>
          <w:sz w:val="32"/>
          <w:szCs w:val="32"/>
        </w:rPr>
      </w:pPr>
      <w:r>
        <w:rPr>
          <w:rFonts w:hint="eastAsia" w:ascii="仿宋_GB2312" w:eastAsia="仿宋_GB2312"/>
          <w:sz w:val="32"/>
          <w:szCs w:val="32"/>
        </w:rPr>
        <w:t>本文件适用于食品快速检测实验室质量控制。</w:t>
      </w:r>
    </w:p>
    <w:p w14:paraId="40DB63CE">
      <w:pPr>
        <w:rPr>
          <w:rFonts w:ascii="仿宋_GB2312" w:eastAsia="仿宋_GB2312"/>
          <w:sz w:val="32"/>
          <w:szCs w:val="32"/>
        </w:rPr>
      </w:pPr>
      <w:r>
        <w:rPr>
          <w:rFonts w:hint="eastAsia" w:ascii="仿宋_GB2312" w:eastAsia="仿宋_GB2312"/>
          <w:sz w:val="32"/>
          <w:szCs w:val="32"/>
        </w:rPr>
        <w:t>2、术语和定义</w:t>
      </w:r>
    </w:p>
    <w:p w14:paraId="7CC39A60">
      <w:pPr>
        <w:ind w:firstLine="640" w:firstLineChars="200"/>
        <w:rPr>
          <w:rFonts w:ascii="仿宋_GB2312" w:eastAsia="仿宋_GB2312"/>
          <w:sz w:val="32"/>
          <w:szCs w:val="32"/>
        </w:rPr>
      </w:pPr>
      <w:r>
        <w:rPr>
          <w:rFonts w:hint="eastAsia" w:ascii="仿宋_GB2312" w:eastAsia="仿宋_GB2312"/>
          <w:sz w:val="32"/>
          <w:szCs w:val="32"/>
        </w:rPr>
        <w:t>本标准主要对食品快检质量控制相关术语做出了解释说明。详见标准文本第3部分。</w:t>
      </w:r>
    </w:p>
    <w:p w14:paraId="69C8DE85">
      <w:pPr>
        <w:rPr>
          <w:rFonts w:ascii="仿宋_GB2312" w:eastAsia="仿宋_GB2312"/>
          <w:sz w:val="32"/>
          <w:szCs w:val="32"/>
        </w:rPr>
      </w:pPr>
      <w:r>
        <w:rPr>
          <w:rFonts w:hint="eastAsia" w:ascii="仿宋_GB2312" w:eastAsia="仿宋_GB2312"/>
          <w:sz w:val="32"/>
          <w:szCs w:val="32"/>
        </w:rPr>
        <w:t>3、通用要求</w:t>
      </w:r>
    </w:p>
    <w:p w14:paraId="779DFDFF">
      <w:pPr>
        <w:ind w:firstLine="640" w:firstLineChars="200"/>
        <w:rPr>
          <w:rFonts w:ascii="仿宋_GB2312" w:eastAsia="仿宋_GB2312"/>
          <w:sz w:val="32"/>
          <w:szCs w:val="32"/>
        </w:rPr>
      </w:pPr>
      <w:r>
        <w:rPr>
          <w:rFonts w:hint="eastAsia" w:ascii="仿宋_GB2312" w:eastAsia="仿宋_GB2312"/>
          <w:sz w:val="32"/>
          <w:szCs w:val="32"/>
        </w:rPr>
        <w:t>食品快检实验室应结合本文件，结合自身实际，建立、实施、保持和持续改进食品快检质量控制管理体系。</w:t>
      </w:r>
    </w:p>
    <w:p w14:paraId="401ADC77">
      <w:pPr>
        <w:ind w:firstLine="640" w:firstLineChars="200"/>
        <w:rPr>
          <w:rFonts w:ascii="仿宋_GB2312" w:eastAsia="仿宋_GB2312"/>
          <w:sz w:val="32"/>
          <w:szCs w:val="32"/>
        </w:rPr>
      </w:pPr>
      <w:r>
        <w:rPr>
          <w:rFonts w:hint="eastAsia" w:ascii="仿宋_GB2312" w:eastAsia="仿宋_GB2312"/>
          <w:sz w:val="32"/>
          <w:szCs w:val="32"/>
        </w:rPr>
        <w:t>政府监督管理部门应提供必要的指导，与实验室定期沟通，对所发现问题及时改进。</w:t>
      </w:r>
    </w:p>
    <w:p w14:paraId="31754A84">
      <w:pPr>
        <w:snapToGrid w:val="0"/>
        <w:spacing w:line="54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4、主要内容</w:t>
      </w:r>
    </w:p>
    <w:p w14:paraId="529D5D18">
      <w:pPr>
        <w:ind w:firstLine="640" w:firstLineChars="200"/>
        <w:rPr>
          <w:rFonts w:ascii="仿宋_GB2312" w:eastAsia="仿宋_GB2312"/>
          <w:sz w:val="32"/>
          <w:szCs w:val="32"/>
        </w:rPr>
      </w:pPr>
      <w:r>
        <w:rPr>
          <w:rFonts w:hint="eastAsia" w:ascii="仿宋_GB2312" w:hAnsi="仿宋_GB2312" w:eastAsia="仿宋_GB2312" w:cs="仿宋_GB2312"/>
          <w:bCs/>
          <w:sz w:val="32"/>
          <w:szCs w:val="32"/>
        </w:rPr>
        <w:t>明确了</w:t>
      </w:r>
      <w:r>
        <w:rPr>
          <w:rFonts w:hint="eastAsia" w:ascii="仿宋_GB2312" w:eastAsia="仿宋_GB2312"/>
          <w:sz w:val="32"/>
          <w:szCs w:val="32"/>
        </w:rPr>
        <w:t>食品快检质量控制的</w:t>
      </w:r>
      <w:r>
        <w:rPr>
          <w:rFonts w:hint="eastAsia" w:ascii="仿宋_GB2312" w:hAnsi="仿宋_GB2312" w:eastAsia="仿宋_GB2312" w:cs="仿宋_GB2312"/>
          <w:bCs/>
          <w:sz w:val="32"/>
          <w:szCs w:val="32"/>
        </w:rPr>
        <w:t>基本要素和技术要求，包括</w:t>
      </w:r>
      <w:r>
        <w:rPr>
          <w:rFonts w:hint="eastAsia" w:ascii="仿宋_GB2312" w:eastAsia="仿宋_GB2312"/>
          <w:sz w:val="32"/>
          <w:szCs w:val="32"/>
        </w:rPr>
        <w:t>食品快速检测的人员、设施和环境、设备、采购、标准物质、样品、检测和数据处理等方面的内容。</w:t>
      </w:r>
    </w:p>
    <w:p w14:paraId="372E5394">
      <w:pPr>
        <w:adjustRightInd/>
        <w:spacing w:line="240" w:lineRule="auto"/>
        <w:textAlignment w:val="auto"/>
        <w:rPr>
          <w:rFonts w:ascii="黑体" w:eastAsia="黑体"/>
          <w:kern w:val="2"/>
          <w:sz w:val="32"/>
          <w:szCs w:val="32"/>
        </w:rPr>
      </w:pPr>
      <w:r>
        <w:rPr>
          <w:rFonts w:hint="eastAsia" w:ascii="黑体" w:eastAsia="黑体"/>
          <w:kern w:val="2"/>
          <w:sz w:val="32"/>
          <w:szCs w:val="32"/>
        </w:rPr>
        <w:t>六、重大意见分歧的处理依据和结果</w:t>
      </w:r>
    </w:p>
    <w:p w14:paraId="31DAD9E3">
      <w:pPr>
        <w:adjustRightIn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本标准的制定过程中无重大意见分歧。</w:t>
      </w:r>
    </w:p>
    <w:p w14:paraId="07492923">
      <w:pPr>
        <w:adjustRightInd/>
        <w:spacing w:line="240" w:lineRule="auto"/>
        <w:textAlignment w:val="auto"/>
        <w:rPr>
          <w:rFonts w:ascii="黑体" w:eastAsia="黑体"/>
          <w:kern w:val="2"/>
          <w:sz w:val="32"/>
          <w:szCs w:val="32"/>
        </w:rPr>
      </w:pPr>
      <w:r>
        <w:rPr>
          <w:rFonts w:hint="eastAsia" w:ascii="黑体" w:eastAsia="黑体"/>
          <w:kern w:val="2"/>
          <w:sz w:val="32"/>
          <w:szCs w:val="32"/>
        </w:rPr>
        <w:t>七、采用国际标准或国外先进标准的，说明采标程度，以及国内外同类标准水平的对比情况</w:t>
      </w:r>
    </w:p>
    <w:p w14:paraId="1CBBEB6C">
      <w:pPr>
        <w:ind w:firstLine="640" w:firstLineChars="200"/>
        <w:rPr>
          <w:rFonts w:ascii="仿宋_GB2312" w:eastAsia="仿宋_GB2312"/>
          <w:sz w:val="32"/>
          <w:szCs w:val="32"/>
        </w:rPr>
      </w:pPr>
      <w:r>
        <w:rPr>
          <w:rFonts w:hint="eastAsia" w:ascii="仿宋_GB2312" w:eastAsia="仿宋_GB2312"/>
          <w:sz w:val="32"/>
          <w:szCs w:val="32"/>
        </w:rPr>
        <w:t>无。</w:t>
      </w:r>
    </w:p>
    <w:p w14:paraId="7043618D">
      <w:pPr>
        <w:adjustRightInd/>
        <w:spacing w:line="240" w:lineRule="auto"/>
        <w:textAlignment w:val="auto"/>
        <w:rPr>
          <w:rFonts w:ascii="黑体" w:eastAsia="黑体"/>
          <w:kern w:val="2"/>
          <w:sz w:val="32"/>
          <w:szCs w:val="32"/>
        </w:rPr>
      </w:pPr>
      <w:r>
        <w:rPr>
          <w:rFonts w:hint="eastAsia" w:ascii="黑体" w:eastAsia="黑体"/>
          <w:kern w:val="2"/>
          <w:sz w:val="32"/>
          <w:szCs w:val="32"/>
        </w:rPr>
        <w:t>八、贯彻标准的措施建议</w:t>
      </w:r>
    </w:p>
    <w:p w14:paraId="64025DD3">
      <w:pPr>
        <w:ind w:firstLine="640" w:firstLineChars="200"/>
        <w:rPr>
          <w:rFonts w:ascii="仿宋_GB2312" w:eastAsia="仿宋_GB2312"/>
          <w:sz w:val="32"/>
          <w:szCs w:val="32"/>
        </w:rPr>
      </w:pPr>
      <w:r>
        <w:rPr>
          <w:rFonts w:hint="eastAsia" w:ascii="仿宋_GB2312" w:eastAsia="仿宋_GB2312"/>
          <w:sz w:val="32"/>
          <w:szCs w:val="32"/>
        </w:rPr>
        <w:t>食品安全监管部门推进本标准在基层食品快检实验应用，并且向社会机构（企业、学校等）的快检实验室推荐应用。食品安全监管部门可在食品快检相关活动中引入本标准作为技术参考。</w:t>
      </w:r>
    </w:p>
    <w:p w14:paraId="49D64E61">
      <w:pPr>
        <w:adjustRightInd/>
        <w:spacing w:line="240" w:lineRule="auto"/>
        <w:textAlignment w:val="auto"/>
        <w:rPr>
          <w:rFonts w:ascii="黑体" w:eastAsia="黑体"/>
          <w:kern w:val="2"/>
          <w:sz w:val="32"/>
          <w:szCs w:val="32"/>
        </w:rPr>
      </w:pPr>
      <w:r>
        <w:rPr>
          <w:rFonts w:hint="eastAsia" w:ascii="黑体" w:eastAsia="黑体"/>
          <w:kern w:val="2"/>
          <w:sz w:val="32"/>
          <w:szCs w:val="32"/>
        </w:rPr>
        <w:t>九、其他应说明的事项</w:t>
      </w:r>
    </w:p>
    <w:p w14:paraId="3D89BA34">
      <w:pPr>
        <w:ind w:firstLine="640" w:firstLineChars="200"/>
        <w:rPr>
          <w:rFonts w:ascii="仿宋_GB2312" w:eastAsia="仿宋_GB2312"/>
          <w:sz w:val="32"/>
          <w:szCs w:val="32"/>
        </w:rPr>
      </w:pPr>
      <w:r>
        <w:rPr>
          <w:rFonts w:hint="eastAsia" w:ascii="仿宋_GB2312" w:eastAsia="仿宋_GB2312"/>
          <w:sz w:val="32"/>
          <w:szCs w:val="32"/>
        </w:rPr>
        <w:t>无。</w:t>
      </w:r>
    </w:p>
    <w:p w14:paraId="67B923FF">
      <w:pPr>
        <w:ind w:firstLine="640" w:firstLineChars="200"/>
        <w:rPr>
          <w:rFonts w:ascii="仿宋_GB2312" w:eastAsia="仿宋_GB2312"/>
          <w:sz w:val="32"/>
          <w:szCs w:val="32"/>
        </w:rPr>
      </w:pPr>
    </w:p>
    <w:p w14:paraId="44A6D5F0">
      <w:pPr>
        <w:ind w:firstLine="640" w:firstLineChars="200"/>
        <w:rPr>
          <w:rFonts w:ascii="仿宋_GB2312" w:eastAsia="仿宋_GB2312"/>
          <w:sz w:val="32"/>
          <w:szCs w:val="32"/>
        </w:rPr>
      </w:pPr>
    </w:p>
    <w:p w14:paraId="4F6A2C08">
      <w:pPr>
        <w:ind w:firstLine="640" w:firstLineChars="200"/>
        <w:rPr>
          <w:rFonts w:ascii="仿宋_GB2312" w:eastAsia="仿宋_GB2312"/>
          <w:sz w:val="32"/>
          <w:szCs w:val="32"/>
        </w:rPr>
      </w:pPr>
      <w:r>
        <w:rPr>
          <w:rFonts w:hint="eastAsia" w:ascii="仿宋_GB2312" w:eastAsia="仿宋_GB2312"/>
          <w:sz w:val="32"/>
          <w:szCs w:val="32"/>
        </w:rPr>
        <w:t>《食品快速检测实验室质量控制规范》标准修订小组</w:t>
      </w:r>
    </w:p>
    <w:p w14:paraId="37281290">
      <w:pPr>
        <w:ind w:firstLine="3840" w:firstLineChars="1200"/>
        <w:rPr>
          <w:rFonts w:ascii="仿宋_GB2312" w:eastAsia="仿宋_GB2312"/>
          <w:sz w:val="32"/>
          <w:szCs w:val="32"/>
        </w:rPr>
      </w:pPr>
      <w:r>
        <w:rPr>
          <w:rFonts w:hint="eastAsia" w:ascii="仿宋_GB2312" w:eastAsia="仿宋_GB2312"/>
          <w:sz w:val="32"/>
          <w:szCs w:val="32"/>
        </w:rPr>
        <w:t>二○二四年十月三十日</w:t>
      </w:r>
    </w:p>
    <w:p w14:paraId="175CE81F">
      <w:pPr>
        <w:ind w:firstLine="640" w:firstLineChars="200"/>
        <w:rPr>
          <w:rFonts w:ascii="仿宋_GB2312" w:eastAsia="仿宋_GB2312"/>
          <w:sz w:val="32"/>
          <w:szCs w:val="32"/>
        </w:rPr>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48140785"/>
    </w:sdtPr>
    <w:sdtContent>
      <w:p w14:paraId="248DB085">
        <w:pPr>
          <w:pStyle w:val="4"/>
          <w:jc w:val="center"/>
        </w:pPr>
        <w:r>
          <w:fldChar w:fldCharType="begin"/>
        </w:r>
        <w:r>
          <w:instrText xml:space="preserve">PAGE   \* MERGEFORMAT</w:instrText>
        </w:r>
        <w:r>
          <w:fldChar w:fldCharType="separate"/>
        </w:r>
        <w:r>
          <w:rPr>
            <w:lang w:val="zh-CN"/>
          </w:rPr>
          <w:t>7</w:t>
        </w:r>
        <w:r>
          <w:fldChar w:fldCharType="end"/>
        </w:r>
      </w:p>
    </w:sdtContent>
  </w:sdt>
  <w:p w14:paraId="6AB9AC17">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17"/>
      <w:suff w:val="nothing"/>
      <w:lvlText w:val="%1　"/>
      <w:lvlJc w:val="left"/>
      <w:pPr>
        <w:ind w:left="709" w:firstLine="0"/>
      </w:pPr>
      <w:rPr>
        <w:rFonts w:hint="eastAsia" w:ascii="黑体" w:hAnsi="Times New Roman" w:eastAsia="黑体"/>
        <w:b w:val="0"/>
        <w:i w:val="0"/>
        <w:sz w:val="21"/>
        <w:szCs w:val="21"/>
      </w:rPr>
    </w:lvl>
    <w:lvl w:ilvl="1" w:tentative="0">
      <w:start w:val="1"/>
      <w:numFmt w:val="decimal"/>
      <w:pStyle w:val="16"/>
      <w:suff w:val="nothing"/>
      <w:lvlText w:val="%1.%2　"/>
      <w:lvlJc w:val="left"/>
      <w:pPr>
        <w:ind w:left="709" w:firstLine="0"/>
      </w:pPr>
      <w:rPr>
        <w:rFonts w:hint="eastAsia" w:ascii="黑体" w:hAnsi="Times New Roman" w:eastAsia="黑体" w:cs="Times New Roman"/>
        <w:b w:val="0"/>
        <w:bCs w:val="0"/>
        <w:i w:val="0"/>
        <w:iCs w:val="0"/>
        <w:caps w:val="0"/>
        <w:strike w:val="0"/>
        <w:dstrike w:val="0"/>
        <w:outline w:val="0"/>
        <w:shadow w:val="0"/>
        <w:emboss w:val="0"/>
        <w:imprint w:val="0"/>
        <w:vanish w:val="0"/>
        <w:color w:val="auto"/>
        <w:spacing w:val="0"/>
        <w:kern w:val="0"/>
        <w:position w:val="0"/>
        <w:sz w:val="21"/>
        <w:szCs w:val="21"/>
        <w:u w:val="none"/>
        <w:vertAlign w:val="baseline"/>
      </w:rPr>
    </w:lvl>
    <w:lvl w:ilvl="2" w:tentative="0">
      <w:start w:val="1"/>
      <w:numFmt w:val="decimal"/>
      <w:pStyle w:val="18"/>
      <w:suff w:val="nothing"/>
      <w:lvlText w:val="%1.%2.%3　"/>
      <w:lvlJc w:val="left"/>
      <w:pPr>
        <w:ind w:left="709" w:firstLine="0"/>
      </w:pPr>
      <w:rPr>
        <w:rFonts w:hint="eastAsia" w:ascii="黑体" w:hAnsi="Times New Roman" w:eastAsia="黑体"/>
        <w:b w:val="0"/>
        <w:i w:val="0"/>
        <w:color w:val="000000"/>
        <w:sz w:val="21"/>
      </w:rPr>
    </w:lvl>
    <w:lvl w:ilvl="3" w:tentative="0">
      <w:start w:val="1"/>
      <w:numFmt w:val="decimal"/>
      <w:pStyle w:val="19"/>
      <w:suff w:val="nothing"/>
      <w:lvlText w:val="%1.%2.%3.%4　"/>
      <w:lvlJc w:val="left"/>
      <w:pPr>
        <w:ind w:left="709" w:firstLine="0"/>
      </w:pPr>
      <w:rPr>
        <w:rFonts w:hint="eastAsia" w:ascii="黑体" w:hAnsi="Times New Roman" w:eastAsia="黑体"/>
        <w:b w:val="0"/>
        <w:i w:val="0"/>
        <w:sz w:val="21"/>
      </w:rPr>
    </w:lvl>
    <w:lvl w:ilvl="4" w:tentative="0">
      <w:start w:val="1"/>
      <w:numFmt w:val="decimal"/>
      <w:pStyle w:val="20"/>
      <w:suff w:val="nothing"/>
      <w:lvlText w:val="%1.%2.%3.%4.%5　"/>
      <w:lvlJc w:val="left"/>
      <w:pPr>
        <w:ind w:left="709" w:firstLine="0"/>
      </w:pPr>
      <w:rPr>
        <w:rFonts w:hint="eastAsia" w:ascii="黑体" w:hAnsi="Times New Roman" w:eastAsia="黑体"/>
        <w:b w:val="0"/>
        <w:i w:val="0"/>
        <w:sz w:val="21"/>
      </w:rPr>
    </w:lvl>
    <w:lvl w:ilvl="5" w:tentative="0">
      <w:start w:val="1"/>
      <w:numFmt w:val="decimal"/>
      <w:pStyle w:val="21"/>
      <w:suff w:val="nothing"/>
      <w:lvlText w:val="%1.%2.%3.%4.%5.%6　"/>
      <w:lvlJc w:val="left"/>
      <w:pPr>
        <w:ind w:left="709" w:firstLine="0"/>
      </w:pPr>
      <w:rPr>
        <w:rFonts w:hint="eastAsia" w:ascii="黑体" w:hAnsi="Times New Roman" w:eastAsia="黑体"/>
        <w:b w:val="0"/>
        <w:i w:val="0"/>
        <w:sz w:val="21"/>
      </w:rPr>
    </w:lvl>
    <w:lvl w:ilvl="6" w:tentative="0">
      <w:start w:val="1"/>
      <w:numFmt w:val="decimal"/>
      <w:suff w:val="nothing"/>
      <w:lvlText w:val="%1%2.%3.%4.%5.%6.%7　"/>
      <w:lvlJc w:val="left"/>
      <w:pPr>
        <w:ind w:left="709" w:firstLine="0"/>
      </w:pPr>
      <w:rPr>
        <w:rFonts w:hint="eastAsia" w:ascii="黑体" w:hAnsi="Times New Roman" w:eastAsia="黑体"/>
        <w:b w:val="0"/>
        <w:i w:val="0"/>
        <w:sz w:val="21"/>
      </w:rPr>
    </w:lvl>
    <w:lvl w:ilvl="7" w:tentative="0">
      <w:start w:val="1"/>
      <w:numFmt w:val="decimal"/>
      <w:lvlText w:val="%1.%2.%3.%4.%5.%6.%7.%8"/>
      <w:lvlJc w:val="left"/>
      <w:pPr>
        <w:tabs>
          <w:tab w:val="left" w:pos="5060"/>
        </w:tabs>
        <w:ind w:left="4678" w:hanging="1418"/>
      </w:pPr>
      <w:rPr>
        <w:rFonts w:hint="eastAsia"/>
      </w:rPr>
    </w:lvl>
    <w:lvl w:ilvl="8" w:tentative="0">
      <w:start w:val="1"/>
      <w:numFmt w:val="decimal"/>
      <w:lvlText w:val="%1.%2.%3.%4.%5.%6.%7.%8.%9"/>
      <w:lvlJc w:val="left"/>
      <w:pPr>
        <w:tabs>
          <w:tab w:val="left" w:pos="5486"/>
        </w:tabs>
        <w:ind w:left="5386" w:hanging="1700"/>
      </w:pPr>
      <w:rPr>
        <w:rFonts w:hint="eastAsia"/>
      </w:rPr>
    </w:lvl>
  </w:abstractNum>
  <w:abstractNum w:abstractNumId="1">
    <w:nsid w:val="60B55DC2"/>
    <w:multiLevelType w:val="multilevel"/>
    <w:tmpl w:val="60B55DC2"/>
    <w:lvl w:ilvl="0" w:tentative="0">
      <w:start w:val="1"/>
      <w:numFmt w:val="upperLetter"/>
      <w:pStyle w:val="22"/>
      <w:lvlText w:val="%1"/>
      <w:lvlJc w:val="left"/>
      <w:pPr>
        <w:tabs>
          <w:tab w:val="left" w:pos="0"/>
        </w:tabs>
        <w:ind w:left="0" w:hanging="425"/>
      </w:pPr>
      <w:rPr>
        <w:rFonts w:hint="eastAsia"/>
      </w:rPr>
    </w:lvl>
    <w:lvl w:ilvl="1" w:tentative="0">
      <w:start w:val="1"/>
      <w:numFmt w:val="decimal"/>
      <w:pStyle w:val="23"/>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hiMjFhNjIyYzE0ZWNjMWI5NjJlODEyYTM4NmRiY2EifQ=="/>
  </w:docVars>
  <w:rsids>
    <w:rsidRoot w:val="00172A27"/>
    <w:rsid w:val="00001542"/>
    <w:rsid w:val="00007401"/>
    <w:rsid w:val="0001076F"/>
    <w:rsid w:val="000217A6"/>
    <w:rsid w:val="0002482D"/>
    <w:rsid w:val="00031DE4"/>
    <w:rsid w:val="00037FEF"/>
    <w:rsid w:val="00044CD2"/>
    <w:rsid w:val="00066617"/>
    <w:rsid w:val="00075D93"/>
    <w:rsid w:val="00087C77"/>
    <w:rsid w:val="000B0FD1"/>
    <w:rsid w:val="000B2335"/>
    <w:rsid w:val="000B2FF7"/>
    <w:rsid w:val="000C18FB"/>
    <w:rsid w:val="000C294C"/>
    <w:rsid w:val="000D132A"/>
    <w:rsid w:val="000D42FE"/>
    <w:rsid w:val="000D54CE"/>
    <w:rsid w:val="000F388F"/>
    <w:rsid w:val="000F5037"/>
    <w:rsid w:val="001029D6"/>
    <w:rsid w:val="00123004"/>
    <w:rsid w:val="00126E4F"/>
    <w:rsid w:val="00131607"/>
    <w:rsid w:val="0014386C"/>
    <w:rsid w:val="00151084"/>
    <w:rsid w:val="001726AC"/>
    <w:rsid w:val="00172A27"/>
    <w:rsid w:val="001A782F"/>
    <w:rsid w:val="001B6BCE"/>
    <w:rsid w:val="001B7E4C"/>
    <w:rsid w:val="001C0866"/>
    <w:rsid w:val="001C2D3F"/>
    <w:rsid w:val="001D0835"/>
    <w:rsid w:val="001E1322"/>
    <w:rsid w:val="001E472B"/>
    <w:rsid w:val="001F5188"/>
    <w:rsid w:val="0022098C"/>
    <w:rsid w:val="00225CAE"/>
    <w:rsid w:val="002354B5"/>
    <w:rsid w:val="00237F56"/>
    <w:rsid w:val="00243E2F"/>
    <w:rsid w:val="00253CE4"/>
    <w:rsid w:val="00255369"/>
    <w:rsid w:val="002712B5"/>
    <w:rsid w:val="00276468"/>
    <w:rsid w:val="002921FF"/>
    <w:rsid w:val="002960A9"/>
    <w:rsid w:val="002A340C"/>
    <w:rsid w:val="002B0897"/>
    <w:rsid w:val="002B6E99"/>
    <w:rsid w:val="002D5ED7"/>
    <w:rsid w:val="002D672C"/>
    <w:rsid w:val="002F0CD1"/>
    <w:rsid w:val="00300A21"/>
    <w:rsid w:val="00313552"/>
    <w:rsid w:val="003159CE"/>
    <w:rsid w:val="0032008D"/>
    <w:rsid w:val="003463A9"/>
    <w:rsid w:val="00374EE4"/>
    <w:rsid w:val="0038078F"/>
    <w:rsid w:val="00382B55"/>
    <w:rsid w:val="00396B02"/>
    <w:rsid w:val="003C29AA"/>
    <w:rsid w:val="003C5424"/>
    <w:rsid w:val="003D2675"/>
    <w:rsid w:val="003D3D70"/>
    <w:rsid w:val="003E23B2"/>
    <w:rsid w:val="003F0E98"/>
    <w:rsid w:val="00404617"/>
    <w:rsid w:val="00404CDA"/>
    <w:rsid w:val="00406F32"/>
    <w:rsid w:val="00410E46"/>
    <w:rsid w:val="0041108C"/>
    <w:rsid w:val="00431C1D"/>
    <w:rsid w:val="0043599A"/>
    <w:rsid w:val="00442A9A"/>
    <w:rsid w:val="00453F6E"/>
    <w:rsid w:val="00461D7B"/>
    <w:rsid w:val="00467585"/>
    <w:rsid w:val="00467F9C"/>
    <w:rsid w:val="00473781"/>
    <w:rsid w:val="00475A88"/>
    <w:rsid w:val="00487AC2"/>
    <w:rsid w:val="004912F1"/>
    <w:rsid w:val="004A7734"/>
    <w:rsid w:val="004B6A4F"/>
    <w:rsid w:val="004C07C8"/>
    <w:rsid w:val="004C13EE"/>
    <w:rsid w:val="004C3EBB"/>
    <w:rsid w:val="004D7347"/>
    <w:rsid w:val="004E3A0D"/>
    <w:rsid w:val="004E6C37"/>
    <w:rsid w:val="004F4D07"/>
    <w:rsid w:val="004F5DFF"/>
    <w:rsid w:val="004F6EA1"/>
    <w:rsid w:val="00502C06"/>
    <w:rsid w:val="005218A2"/>
    <w:rsid w:val="00521FA5"/>
    <w:rsid w:val="00522F9B"/>
    <w:rsid w:val="00527A21"/>
    <w:rsid w:val="0053644C"/>
    <w:rsid w:val="00540CA7"/>
    <w:rsid w:val="005549A0"/>
    <w:rsid w:val="00555320"/>
    <w:rsid w:val="00555EEC"/>
    <w:rsid w:val="0055646B"/>
    <w:rsid w:val="00556902"/>
    <w:rsid w:val="00560530"/>
    <w:rsid w:val="00564D23"/>
    <w:rsid w:val="00570493"/>
    <w:rsid w:val="00587A0D"/>
    <w:rsid w:val="005A1A7C"/>
    <w:rsid w:val="005A3D12"/>
    <w:rsid w:val="005A4039"/>
    <w:rsid w:val="005B00BF"/>
    <w:rsid w:val="005B70CB"/>
    <w:rsid w:val="005C76A3"/>
    <w:rsid w:val="005D1F07"/>
    <w:rsid w:val="005E2043"/>
    <w:rsid w:val="005E3B4B"/>
    <w:rsid w:val="005E5778"/>
    <w:rsid w:val="005F3971"/>
    <w:rsid w:val="00601714"/>
    <w:rsid w:val="006036E8"/>
    <w:rsid w:val="006049CF"/>
    <w:rsid w:val="006054B9"/>
    <w:rsid w:val="00607CE8"/>
    <w:rsid w:val="00612D38"/>
    <w:rsid w:val="00615DB4"/>
    <w:rsid w:val="006232F9"/>
    <w:rsid w:val="006343E4"/>
    <w:rsid w:val="006423B7"/>
    <w:rsid w:val="00642F10"/>
    <w:rsid w:val="006434EC"/>
    <w:rsid w:val="006451CD"/>
    <w:rsid w:val="00645DF6"/>
    <w:rsid w:val="00652238"/>
    <w:rsid w:val="00656653"/>
    <w:rsid w:val="00656F6F"/>
    <w:rsid w:val="0066282B"/>
    <w:rsid w:val="00664632"/>
    <w:rsid w:val="00671DFB"/>
    <w:rsid w:val="0068101D"/>
    <w:rsid w:val="00691464"/>
    <w:rsid w:val="006920CA"/>
    <w:rsid w:val="00694AE4"/>
    <w:rsid w:val="006B6C42"/>
    <w:rsid w:val="006C2F20"/>
    <w:rsid w:val="006D2309"/>
    <w:rsid w:val="006D366B"/>
    <w:rsid w:val="006E5A86"/>
    <w:rsid w:val="006F406B"/>
    <w:rsid w:val="006F42ED"/>
    <w:rsid w:val="00706429"/>
    <w:rsid w:val="00711504"/>
    <w:rsid w:val="00713497"/>
    <w:rsid w:val="00725EBC"/>
    <w:rsid w:val="00730EC5"/>
    <w:rsid w:val="00734AD5"/>
    <w:rsid w:val="0074373E"/>
    <w:rsid w:val="00751332"/>
    <w:rsid w:val="007526D3"/>
    <w:rsid w:val="00772DA1"/>
    <w:rsid w:val="00777D6D"/>
    <w:rsid w:val="00786AF1"/>
    <w:rsid w:val="007A6171"/>
    <w:rsid w:val="007A7797"/>
    <w:rsid w:val="007A7A84"/>
    <w:rsid w:val="007C3E2E"/>
    <w:rsid w:val="007D2246"/>
    <w:rsid w:val="007D2B14"/>
    <w:rsid w:val="007D4E2E"/>
    <w:rsid w:val="007D55C2"/>
    <w:rsid w:val="007E2B32"/>
    <w:rsid w:val="007E30A0"/>
    <w:rsid w:val="007F280E"/>
    <w:rsid w:val="007F78AA"/>
    <w:rsid w:val="00806032"/>
    <w:rsid w:val="0080670C"/>
    <w:rsid w:val="0082061C"/>
    <w:rsid w:val="008219A3"/>
    <w:rsid w:val="008274B6"/>
    <w:rsid w:val="00833919"/>
    <w:rsid w:val="0084223D"/>
    <w:rsid w:val="00855253"/>
    <w:rsid w:val="008649A8"/>
    <w:rsid w:val="00864EE8"/>
    <w:rsid w:val="00865DBC"/>
    <w:rsid w:val="00884748"/>
    <w:rsid w:val="00884E48"/>
    <w:rsid w:val="00892716"/>
    <w:rsid w:val="008B05CA"/>
    <w:rsid w:val="008C09C2"/>
    <w:rsid w:val="008C14B6"/>
    <w:rsid w:val="008C2B67"/>
    <w:rsid w:val="008C7DAD"/>
    <w:rsid w:val="008D273C"/>
    <w:rsid w:val="008D511B"/>
    <w:rsid w:val="008D6891"/>
    <w:rsid w:val="008E38DA"/>
    <w:rsid w:val="008F625A"/>
    <w:rsid w:val="0090429B"/>
    <w:rsid w:val="00913A66"/>
    <w:rsid w:val="0092519F"/>
    <w:rsid w:val="009263A5"/>
    <w:rsid w:val="0093328E"/>
    <w:rsid w:val="00941A83"/>
    <w:rsid w:val="00946DD7"/>
    <w:rsid w:val="0095065F"/>
    <w:rsid w:val="00962331"/>
    <w:rsid w:val="00963F7B"/>
    <w:rsid w:val="00973E57"/>
    <w:rsid w:val="009770DB"/>
    <w:rsid w:val="009810DD"/>
    <w:rsid w:val="009920D5"/>
    <w:rsid w:val="00992652"/>
    <w:rsid w:val="009931B0"/>
    <w:rsid w:val="009940F8"/>
    <w:rsid w:val="009A3F1E"/>
    <w:rsid w:val="009B24C7"/>
    <w:rsid w:val="009B2BA7"/>
    <w:rsid w:val="009B7525"/>
    <w:rsid w:val="009B755F"/>
    <w:rsid w:val="009C4608"/>
    <w:rsid w:val="009D4239"/>
    <w:rsid w:val="009F43FE"/>
    <w:rsid w:val="009F4BB5"/>
    <w:rsid w:val="00A0157C"/>
    <w:rsid w:val="00A017EE"/>
    <w:rsid w:val="00A03F32"/>
    <w:rsid w:val="00A14D1F"/>
    <w:rsid w:val="00A20757"/>
    <w:rsid w:val="00A20B02"/>
    <w:rsid w:val="00A31350"/>
    <w:rsid w:val="00A4472B"/>
    <w:rsid w:val="00A645ED"/>
    <w:rsid w:val="00A7648E"/>
    <w:rsid w:val="00A834D6"/>
    <w:rsid w:val="00A850C4"/>
    <w:rsid w:val="00A8534D"/>
    <w:rsid w:val="00A876EA"/>
    <w:rsid w:val="00AB1D66"/>
    <w:rsid w:val="00AB24AA"/>
    <w:rsid w:val="00AB58E4"/>
    <w:rsid w:val="00AC4D23"/>
    <w:rsid w:val="00AD334D"/>
    <w:rsid w:val="00AD79A0"/>
    <w:rsid w:val="00AD7E3D"/>
    <w:rsid w:val="00AE65DF"/>
    <w:rsid w:val="00AF08C4"/>
    <w:rsid w:val="00AF154C"/>
    <w:rsid w:val="00AF78AD"/>
    <w:rsid w:val="00B01DB5"/>
    <w:rsid w:val="00B10A9E"/>
    <w:rsid w:val="00B1509A"/>
    <w:rsid w:val="00B2148B"/>
    <w:rsid w:val="00B22AA4"/>
    <w:rsid w:val="00B25B99"/>
    <w:rsid w:val="00B310A6"/>
    <w:rsid w:val="00B40EF1"/>
    <w:rsid w:val="00B46667"/>
    <w:rsid w:val="00B50860"/>
    <w:rsid w:val="00B52B7D"/>
    <w:rsid w:val="00B754AA"/>
    <w:rsid w:val="00B8328A"/>
    <w:rsid w:val="00BA3BBD"/>
    <w:rsid w:val="00BB0235"/>
    <w:rsid w:val="00BB2A23"/>
    <w:rsid w:val="00BB4275"/>
    <w:rsid w:val="00BC0176"/>
    <w:rsid w:val="00BD3C55"/>
    <w:rsid w:val="00BD5D4B"/>
    <w:rsid w:val="00BE1FBC"/>
    <w:rsid w:val="00BE45C1"/>
    <w:rsid w:val="00BE6C62"/>
    <w:rsid w:val="00BE73BA"/>
    <w:rsid w:val="00BF0DF8"/>
    <w:rsid w:val="00BF562A"/>
    <w:rsid w:val="00C213F9"/>
    <w:rsid w:val="00C22A56"/>
    <w:rsid w:val="00C247DB"/>
    <w:rsid w:val="00C306CA"/>
    <w:rsid w:val="00C363F0"/>
    <w:rsid w:val="00C65C7F"/>
    <w:rsid w:val="00C76B83"/>
    <w:rsid w:val="00C837CE"/>
    <w:rsid w:val="00C91D5A"/>
    <w:rsid w:val="00CA1B61"/>
    <w:rsid w:val="00CA3E34"/>
    <w:rsid w:val="00CB2BF4"/>
    <w:rsid w:val="00CB5258"/>
    <w:rsid w:val="00CB56AC"/>
    <w:rsid w:val="00CC2993"/>
    <w:rsid w:val="00CD1F86"/>
    <w:rsid w:val="00CD52E1"/>
    <w:rsid w:val="00CE0157"/>
    <w:rsid w:val="00D07D1A"/>
    <w:rsid w:val="00D124CA"/>
    <w:rsid w:val="00D149DF"/>
    <w:rsid w:val="00D30A46"/>
    <w:rsid w:val="00D32D63"/>
    <w:rsid w:val="00D43F1E"/>
    <w:rsid w:val="00D506E0"/>
    <w:rsid w:val="00D50F98"/>
    <w:rsid w:val="00D52A95"/>
    <w:rsid w:val="00D52F3C"/>
    <w:rsid w:val="00D5651B"/>
    <w:rsid w:val="00D70C30"/>
    <w:rsid w:val="00D724F5"/>
    <w:rsid w:val="00D73EA3"/>
    <w:rsid w:val="00D8026B"/>
    <w:rsid w:val="00D8082A"/>
    <w:rsid w:val="00D91DB6"/>
    <w:rsid w:val="00DA1809"/>
    <w:rsid w:val="00DA6AC7"/>
    <w:rsid w:val="00DA7B40"/>
    <w:rsid w:val="00DC6F06"/>
    <w:rsid w:val="00DD6700"/>
    <w:rsid w:val="00E002E9"/>
    <w:rsid w:val="00E00F06"/>
    <w:rsid w:val="00E03DCF"/>
    <w:rsid w:val="00E11159"/>
    <w:rsid w:val="00E11A7C"/>
    <w:rsid w:val="00E12CCC"/>
    <w:rsid w:val="00E163CC"/>
    <w:rsid w:val="00E228F9"/>
    <w:rsid w:val="00E31DB1"/>
    <w:rsid w:val="00E32855"/>
    <w:rsid w:val="00E33DBF"/>
    <w:rsid w:val="00E52F5A"/>
    <w:rsid w:val="00E66D8D"/>
    <w:rsid w:val="00E7007F"/>
    <w:rsid w:val="00E87516"/>
    <w:rsid w:val="00E90210"/>
    <w:rsid w:val="00E941CC"/>
    <w:rsid w:val="00E96431"/>
    <w:rsid w:val="00EA0151"/>
    <w:rsid w:val="00EA6B24"/>
    <w:rsid w:val="00EA71B2"/>
    <w:rsid w:val="00EB3AFB"/>
    <w:rsid w:val="00EC3B62"/>
    <w:rsid w:val="00EC4B93"/>
    <w:rsid w:val="00EE48DE"/>
    <w:rsid w:val="00EE7969"/>
    <w:rsid w:val="00EF267C"/>
    <w:rsid w:val="00EF42AB"/>
    <w:rsid w:val="00EF60B1"/>
    <w:rsid w:val="00EF79E5"/>
    <w:rsid w:val="00F01201"/>
    <w:rsid w:val="00F01912"/>
    <w:rsid w:val="00F15B7C"/>
    <w:rsid w:val="00F17277"/>
    <w:rsid w:val="00F353B1"/>
    <w:rsid w:val="00F40FCE"/>
    <w:rsid w:val="00F52D17"/>
    <w:rsid w:val="00F53FFA"/>
    <w:rsid w:val="00F73B8B"/>
    <w:rsid w:val="00F73D56"/>
    <w:rsid w:val="00F73F3C"/>
    <w:rsid w:val="00F8352C"/>
    <w:rsid w:val="00F94C6B"/>
    <w:rsid w:val="00F96F96"/>
    <w:rsid w:val="00FA1A08"/>
    <w:rsid w:val="00FA62BC"/>
    <w:rsid w:val="00FA6B6F"/>
    <w:rsid w:val="00FD0CDB"/>
    <w:rsid w:val="00FD125D"/>
    <w:rsid w:val="00FD17C8"/>
    <w:rsid w:val="00FD7EDF"/>
    <w:rsid w:val="00FE3BF4"/>
    <w:rsid w:val="00FF24A0"/>
    <w:rsid w:val="00FF3DBD"/>
    <w:rsid w:val="00FF7A3F"/>
    <w:rsid w:val="01F83C13"/>
    <w:rsid w:val="022E1E1A"/>
    <w:rsid w:val="02345ABB"/>
    <w:rsid w:val="02F900F0"/>
    <w:rsid w:val="03D43418"/>
    <w:rsid w:val="045B43FC"/>
    <w:rsid w:val="054C3D6C"/>
    <w:rsid w:val="07C63742"/>
    <w:rsid w:val="08034725"/>
    <w:rsid w:val="08B3254F"/>
    <w:rsid w:val="092F57B5"/>
    <w:rsid w:val="09F33BEF"/>
    <w:rsid w:val="0A600CB2"/>
    <w:rsid w:val="0ADC1C03"/>
    <w:rsid w:val="0B114F81"/>
    <w:rsid w:val="0C3716C9"/>
    <w:rsid w:val="0C822D8F"/>
    <w:rsid w:val="0CC575DE"/>
    <w:rsid w:val="0DDE12B7"/>
    <w:rsid w:val="0DEE643B"/>
    <w:rsid w:val="0EAD0AC8"/>
    <w:rsid w:val="0FBA31EA"/>
    <w:rsid w:val="10435EE5"/>
    <w:rsid w:val="10D80521"/>
    <w:rsid w:val="11264591"/>
    <w:rsid w:val="11BA3722"/>
    <w:rsid w:val="128B52F9"/>
    <w:rsid w:val="12EF1C23"/>
    <w:rsid w:val="136962B3"/>
    <w:rsid w:val="14F8015D"/>
    <w:rsid w:val="15C268E1"/>
    <w:rsid w:val="17347A4E"/>
    <w:rsid w:val="17E25574"/>
    <w:rsid w:val="18773DEF"/>
    <w:rsid w:val="1A2D4AFB"/>
    <w:rsid w:val="1A6607B1"/>
    <w:rsid w:val="1AD70378"/>
    <w:rsid w:val="1B1061E4"/>
    <w:rsid w:val="1DF50246"/>
    <w:rsid w:val="1EAA2581"/>
    <w:rsid w:val="1F1358E7"/>
    <w:rsid w:val="1FC62B56"/>
    <w:rsid w:val="20CC79C2"/>
    <w:rsid w:val="256B1022"/>
    <w:rsid w:val="25AE5EA3"/>
    <w:rsid w:val="27BE451B"/>
    <w:rsid w:val="282E4974"/>
    <w:rsid w:val="282E5213"/>
    <w:rsid w:val="28B30539"/>
    <w:rsid w:val="2B790E80"/>
    <w:rsid w:val="2C371CB8"/>
    <w:rsid w:val="2CED74AF"/>
    <w:rsid w:val="2D717A84"/>
    <w:rsid w:val="2DFA5C71"/>
    <w:rsid w:val="2E305AFB"/>
    <w:rsid w:val="2E4D43B1"/>
    <w:rsid w:val="30A65822"/>
    <w:rsid w:val="33092756"/>
    <w:rsid w:val="3326562F"/>
    <w:rsid w:val="33E16F13"/>
    <w:rsid w:val="33F7363D"/>
    <w:rsid w:val="353D3C57"/>
    <w:rsid w:val="368C4987"/>
    <w:rsid w:val="36B006B6"/>
    <w:rsid w:val="36BF47B5"/>
    <w:rsid w:val="36FE719C"/>
    <w:rsid w:val="38D8061D"/>
    <w:rsid w:val="3C586C41"/>
    <w:rsid w:val="3EE64B9D"/>
    <w:rsid w:val="3F820D51"/>
    <w:rsid w:val="3FBF1076"/>
    <w:rsid w:val="3FCF1D4E"/>
    <w:rsid w:val="41254477"/>
    <w:rsid w:val="412764E3"/>
    <w:rsid w:val="412C422C"/>
    <w:rsid w:val="42FF0B9D"/>
    <w:rsid w:val="45A4490F"/>
    <w:rsid w:val="464C250A"/>
    <w:rsid w:val="476305EB"/>
    <w:rsid w:val="47744031"/>
    <w:rsid w:val="4928192E"/>
    <w:rsid w:val="4A331477"/>
    <w:rsid w:val="4C88540C"/>
    <w:rsid w:val="4C9955DF"/>
    <w:rsid w:val="4D3847B0"/>
    <w:rsid w:val="4DF704FF"/>
    <w:rsid w:val="4E6E1924"/>
    <w:rsid w:val="4EB246AF"/>
    <w:rsid w:val="4F4B5961"/>
    <w:rsid w:val="4FD0340B"/>
    <w:rsid w:val="51100500"/>
    <w:rsid w:val="51B064A5"/>
    <w:rsid w:val="51F90F4F"/>
    <w:rsid w:val="522D1BB1"/>
    <w:rsid w:val="53457293"/>
    <w:rsid w:val="53D77A4C"/>
    <w:rsid w:val="54045F08"/>
    <w:rsid w:val="54321F5E"/>
    <w:rsid w:val="551660A6"/>
    <w:rsid w:val="575A3154"/>
    <w:rsid w:val="57D57E61"/>
    <w:rsid w:val="5945318B"/>
    <w:rsid w:val="5CB512EE"/>
    <w:rsid w:val="5E5D2359"/>
    <w:rsid w:val="5EB80AB4"/>
    <w:rsid w:val="5ED9144F"/>
    <w:rsid w:val="5EE37D26"/>
    <w:rsid w:val="5F2274FF"/>
    <w:rsid w:val="5F4D420D"/>
    <w:rsid w:val="5FA60882"/>
    <w:rsid w:val="5FFC234D"/>
    <w:rsid w:val="6067563E"/>
    <w:rsid w:val="615E4BB9"/>
    <w:rsid w:val="61BE2AF5"/>
    <w:rsid w:val="62364F81"/>
    <w:rsid w:val="6238146D"/>
    <w:rsid w:val="62410EBA"/>
    <w:rsid w:val="635D4ECE"/>
    <w:rsid w:val="64AF11E2"/>
    <w:rsid w:val="656642A2"/>
    <w:rsid w:val="663364AD"/>
    <w:rsid w:val="6667563C"/>
    <w:rsid w:val="66690BD8"/>
    <w:rsid w:val="66A06372"/>
    <w:rsid w:val="67327991"/>
    <w:rsid w:val="6742121B"/>
    <w:rsid w:val="6759586E"/>
    <w:rsid w:val="680952F4"/>
    <w:rsid w:val="68721F4E"/>
    <w:rsid w:val="68D615CB"/>
    <w:rsid w:val="6A943749"/>
    <w:rsid w:val="6B226EFE"/>
    <w:rsid w:val="6BB06046"/>
    <w:rsid w:val="6BB945AD"/>
    <w:rsid w:val="6C9A1120"/>
    <w:rsid w:val="6DFA7B13"/>
    <w:rsid w:val="6EA25966"/>
    <w:rsid w:val="6F9347A6"/>
    <w:rsid w:val="71572129"/>
    <w:rsid w:val="71E22FAF"/>
    <w:rsid w:val="727056AB"/>
    <w:rsid w:val="72B71DFE"/>
    <w:rsid w:val="73183910"/>
    <w:rsid w:val="73696418"/>
    <w:rsid w:val="73781F11"/>
    <w:rsid w:val="758E673A"/>
    <w:rsid w:val="75A27FE7"/>
    <w:rsid w:val="75B41C17"/>
    <w:rsid w:val="7A6F4CF1"/>
    <w:rsid w:val="7A7103CA"/>
    <w:rsid w:val="7D734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jc w:val="both"/>
      <w:textAlignment w:val="baseline"/>
    </w:pPr>
    <w:rPr>
      <w:rFonts w:ascii="Times New Roman" w:hAnsi="Times New Roman" w:eastAsia="宋体" w:cs="Times New Roman"/>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adjustRightInd/>
      <w:spacing w:line="240" w:lineRule="auto"/>
      <w:ind w:firstLine="420" w:firstLineChars="200"/>
      <w:textAlignment w:val="auto"/>
    </w:pPr>
    <w:rPr>
      <w:rFonts w:ascii="Calibri" w:hAnsi="Calibri"/>
      <w:kern w:val="2"/>
      <w:sz w:val="21"/>
      <w:szCs w:val="22"/>
    </w:rPr>
  </w:style>
  <w:style w:type="paragraph" w:styleId="3">
    <w:name w:val="Balloon Text"/>
    <w:basedOn w:val="1"/>
    <w:link w:val="26"/>
    <w:semiHidden/>
    <w:unhideWhenUsed/>
    <w:qFormat/>
    <w:uiPriority w:val="99"/>
    <w:pPr>
      <w:spacing w:line="240" w:lineRule="auto"/>
    </w:pPr>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22"/>
    <w:rPr>
      <w:b/>
      <w:bCs/>
    </w:r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paragraph" w:customStyle="1" w:styleId="12">
    <w:name w:val="段"/>
    <w:link w:val="13"/>
    <w:qFormat/>
    <w:uiPriority w:val="0"/>
    <w:pPr>
      <w:widowControl w:val="0"/>
      <w:tabs>
        <w:tab w:val="center" w:pos="4201"/>
        <w:tab w:val="right" w:leader="dot" w:pos="9298"/>
      </w:tabs>
      <w:autoSpaceDE w:val="0"/>
      <w:autoSpaceDN w:val="0"/>
      <w:adjustRightInd w:val="0"/>
      <w:spacing w:line="360" w:lineRule="atLeast"/>
      <w:ind w:firstLine="420" w:firstLineChars="200"/>
      <w:jc w:val="both"/>
      <w:textAlignment w:val="baseline"/>
    </w:pPr>
    <w:rPr>
      <w:rFonts w:ascii="宋体" w:hAnsi="Times New Roman" w:eastAsia="宋体" w:cs="Times New Roman"/>
      <w:lang w:val="en-US" w:eastAsia="zh-CN" w:bidi="ar-SA"/>
    </w:rPr>
  </w:style>
  <w:style w:type="character" w:customStyle="1" w:styleId="13">
    <w:name w:val="段 Char"/>
    <w:link w:val="12"/>
    <w:qFormat/>
    <w:uiPriority w:val="0"/>
    <w:rPr>
      <w:rFonts w:ascii="宋体" w:hAnsi="Times New Roman" w:eastAsia="宋体" w:cs="Times New Roman"/>
      <w:kern w:val="0"/>
      <w:szCs w:val="20"/>
    </w:rPr>
  </w:style>
  <w:style w:type="paragraph" w:customStyle="1" w:styleId="14">
    <w:name w:val="Default"/>
    <w:qFormat/>
    <w:uiPriority w:val="0"/>
    <w:pPr>
      <w:widowControl w:val="0"/>
      <w:autoSpaceDE w:val="0"/>
      <w:autoSpaceDN w:val="0"/>
      <w:adjustRightInd w:val="0"/>
      <w:spacing w:line="360" w:lineRule="atLeast"/>
      <w:jc w:val="both"/>
      <w:textAlignment w:val="baseline"/>
    </w:pPr>
    <w:rPr>
      <w:rFonts w:ascii="黑体" w:hAnsi="Times New Roman" w:eastAsia="黑体" w:cs="Times New Roman"/>
      <w:color w:val="000000"/>
      <w:sz w:val="24"/>
      <w:szCs w:val="24"/>
      <w:lang w:val="en-US" w:eastAsia="zh-CN" w:bidi="ar-SA"/>
    </w:rPr>
  </w:style>
  <w:style w:type="paragraph" w:styleId="15">
    <w:name w:val="List Paragraph"/>
    <w:basedOn w:val="1"/>
    <w:qFormat/>
    <w:uiPriority w:val="34"/>
    <w:pPr>
      <w:ind w:firstLine="420" w:firstLineChars="200"/>
    </w:pPr>
  </w:style>
  <w:style w:type="paragraph" w:customStyle="1" w:styleId="16">
    <w:name w:val="一级条标题"/>
    <w:next w:val="12"/>
    <w:link w:val="24"/>
    <w:qFormat/>
    <w:uiPriority w:val="0"/>
    <w:pPr>
      <w:widowControl w:val="0"/>
      <w:numPr>
        <w:ilvl w:val="1"/>
        <w:numId w:val="1"/>
      </w:numPr>
      <w:adjustRightInd w:val="0"/>
      <w:spacing w:before="156" w:beforeLines="50" w:after="156" w:afterLines="50" w:line="360" w:lineRule="atLeast"/>
      <w:jc w:val="both"/>
      <w:textAlignment w:val="baseline"/>
      <w:outlineLvl w:val="2"/>
    </w:pPr>
    <w:rPr>
      <w:rFonts w:ascii="黑体" w:hAnsi="Times New Roman" w:eastAsia="黑体" w:cs="Times New Roman"/>
      <w:szCs w:val="21"/>
      <w:lang w:val="en-US" w:eastAsia="zh-CN" w:bidi="ar-SA"/>
    </w:rPr>
  </w:style>
  <w:style w:type="paragraph" w:customStyle="1" w:styleId="17">
    <w:name w:val="章标题"/>
    <w:next w:val="12"/>
    <w:qFormat/>
    <w:uiPriority w:val="0"/>
    <w:pPr>
      <w:widowControl w:val="0"/>
      <w:numPr>
        <w:ilvl w:val="0"/>
        <w:numId w:val="1"/>
      </w:numPr>
      <w:adjustRightInd w:val="0"/>
      <w:spacing w:before="312" w:beforeLines="100" w:after="312" w:afterLines="100" w:line="360" w:lineRule="atLeast"/>
      <w:jc w:val="both"/>
      <w:textAlignment w:val="baseline"/>
      <w:outlineLvl w:val="1"/>
    </w:pPr>
    <w:rPr>
      <w:rFonts w:ascii="黑体" w:hAnsi="Times New Roman" w:eastAsia="黑体" w:cs="Times New Roman"/>
      <w:lang w:val="en-US" w:eastAsia="zh-CN" w:bidi="ar-SA"/>
    </w:rPr>
  </w:style>
  <w:style w:type="paragraph" w:customStyle="1" w:styleId="18">
    <w:name w:val="二级条标题"/>
    <w:basedOn w:val="16"/>
    <w:next w:val="12"/>
    <w:qFormat/>
    <w:uiPriority w:val="0"/>
    <w:pPr>
      <w:numPr>
        <w:ilvl w:val="2"/>
      </w:numPr>
      <w:tabs>
        <w:tab w:val="left" w:pos="360"/>
      </w:tabs>
      <w:spacing w:before="50" w:after="50"/>
      <w:outlineLvl w:val="3"/>
    </w:pPr>
  </w:style>
  <w:style w:type="paragraph" w:customStyle="1" w:styleId="19">
    <w:name w:val="三级条标题"/>
    <w:basedOn w:val="18"/>
    <w:next w:val="12"/>
    <w:qFormat/>
    <w:uiPriority w:val="0"/>
    <w:pPr>
      <w:numPr>
        <w:ilvl w:val="3"/>
      </w:numPr>
      <w:outlineLvl w:val="4"/>
    </w:pPr>
  </w:style>
  <w:style w:type="paragraph" w:customStyle="1" w:styleId="20">
    <w:name w:val="四级条标题"/>
    <w:basedOn w:val="19"/>
    <w:next w:val="12"/>
    <w:qFormat/>
    <w:uiPriority w:val="0"/>
    <w:pPr>
      <w:numPr>
        <w:ilvl w:val="4"/>
      </w:numPr>
      <w:outlineLvl w:val="5"/>
    </w:pPr>
  </w:style>
  <w:style w:type="paragraph" w:customStyle="1" w:styleId="21">
    <w:name w:val="五级条标题"/>
    <w:basedOn w:val="20"/>
    <w:next w:val="12"/>
    <w:qFormat/>
    <w:uiPriority w:val="0"/>
    <w:pPr>
      <w:numPr>
        <w:ilvl w:val="5"/>
      </w:numPr>
      <w:outlineLvl w:val="6"/>
    </w:pPr>
  </w:style>
  <w:style w:type="paragraph" w:customStyle="1" w:styleId="22">
    <w:name w:val="附录表标号"/>
    <w:basedOn w:val="1"/>
    <w:next w:val="12"/>
    <w:qFormat/>
    <w:uiPriority w:val="0"/>
    <w:pPr>
      <w:numPr>
        <w:ilvl w:val="0"/>
        <w:numId w:val="2"/>
      </w:numPr>
      <w:tabs>
        <w:tab w:val="clear" w:pos="0"/>
      </w:tabs>
      <w:spacing w:line="14" w:lineRule="exact"/>
      <w:ind w:left="811" w:hanging="448"/>
      <w:jc w:val="center"/>
      <w:outlineLvl w:val="0"/>
    </w:pPr>
    <w:rPr>
      <w:color w:val="FFFFFF"/>
    </w:rPr>
  </w:style>
  <w:style w:type="paragraph" w:customStyle="1" w:styleId="23">
    <w:name w:val="附录表标题"/>
    <w:basedOn w:val="1"/>
    <w:next w:val="12"/>
    <w:qFormat/>
    <w:uiPriority w:val="0"/>
    <w:pPr>
      <w:numPr>
        <w:ilvl w:val="1"/>
        <w:numId w:val="2"/>
      </w:numPr>
      <w:tabs>
        <w:tab w:val="left" w:pos="180"/>
      </w:tabs>
      <w:spacing w:before="50" w:beforeLines="50" w:after="50" w:afterLines="50"/>
      <w:ind w:left="0" w:firstLine="0"/>
      <w:jc w:val="center"/>
    </w:pPr>
    <w:rPr>
      <w:rFonts w:ascii="黑体" w:eastAsia="黑体"/>
      <w:szCs w:val="21"/>
    </w:rPr>
  </w:style>
  <w:style w:type="character" w:customStyle="1" w:styleId="24">
    <w:name w:val="一级条标题 Char"/>
    <w:link w:val="16"/>
    <w:qFormat/>
    <w:locked/>
    <w:uiPriority w:val="0"/>
    <w:rPr>
      <w:rFonts w:ascii="黑体" w:hAnsi="Times New Roman" w:eastAsia="黑体" w:cs="Times New Roman"/>
      <w:kern w:val="0"/>
      <w:szCs w:val="21"/>
    </w:rPr>
  </w:style>
  <w:style w:type="paragraph" w:styleId="25">
    <w:name w:val="No Spacing"/>
    <w:qFormat/>
    <w:uiPriority w:val="1"/>
    <w:pPr>
      <w:widowControl w:val="0"/>
      <w:adjustRightInd w:val="0"/>
      <w:spacing w:line="360" w:lineRule="atLeast"/>
      <w:jc w:val="both"/>
      <w:textAlignment w:val="baseline"/>
    </w:pPr>
    <w:rPr>
      <w:rFonts w:ascii="Times New Roman" w:hAnsi="Times New Roman" w:eastAsia="Times New Roman" w:cs="Times New Roman"/>
      <w:lang w:val="en-US" w:eastAsia="zh-CN" w:bidi="ar-SA"/>
    </w:rPr>
  </w:style>
  <w:style w:type="character" w:customStyle="1" w:styleId="26">
    <w:name w:val="批注框文本 字符"/>
    <w:basedOn w:val="8"/>
    <w:link w:val="3"/>
    <w:semiHidden/>
    <w:qFormat/>
    <w:uiPriority w:val="99"/>
    <w:rPr>
      <w:rFonts w:ascii="Times New Roman" w:hAnsi="Times New Roman" w:eastAsia="宋体" w:cs="Times New Roman"/>
      <w:kern w:val="0"/>
      <w:sz w:val="18"/>
      <w:szCs w:val="18"/>
    </w:rPr>
  </w:style>
  <w:style w:type="paragraph" w:customStyle="1" w:styleId="27">
    <w:name w:val="二级无"/>
    <w:basedOn w:val="18"/>
    <w:qFormat/>
    <w:uiPriority w:val="0"/>
    <w:pPr>
      <w:spacing w:beforeLines="0" w:afterLines="0"/>
    </w:pPr>
    <w:rPr>
      <w:rFonts w:ascii="宋体" w:eastAsia="宋体"/>
    </w:rPr>
  </w:style>
  <w:style w:type="paragraph" w:customStyle="1" w:styleId="28">
    <w:name w:val="Char Char1"/>
    <w:basedOn w:val="1"/>
    <w:qFormat/>
    <w:uiPriority w:val="0"/>
    <w:pPr>
      <w:widowControl/>
      <w:adjustRightInd/>
      <w:spacing w:after="160" w:line="240" w:lineRule="exact"/>
      <w:ind w:firstLine="200" w:firstLineChars="200"/>
      <w:jc w:val="left"/>
      <w:textAlignment w:val="auto"/>
    </w:pPr>
    <w:rPr>
      <w:rFonts w:ascii="Verdana" w:hAnsi="Verdana"/>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C4FCE-4EE8-42F5-8B1E-60BAA163ED23}">
  <ds:schemaRefs/>
</ds:datastoreItem>
</file>

<file path=docProps/app.xml><?xml version="1.0" encoding="utf-8"?>
<Properties xmlns="http://schemas.openxmlformats.org/officeDocument/2006/extended-properties" xmlns:vt="http://schemas.openxmlformats.org/officeDocument/2006/docPropsVTypes">
  <Template>Normal</Template>
  <Company>南昌大学</Company>
  <Pages>7</Pages>
  <Words>2603</Words>
  <Characters>2750</Characters>
  <Lines>169</Lines>
  <Paragraphs>219</Paragraphs>
  <TotalTime>1476</TotalTime>
  <ScaleCrop>false</ScaleCrop>
  <LinksUpToDate>false</LinksUpToDate>
  <CharactersWithSpaces>2769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2018-07-18T01:14:00Z</dcterms:created>
  <dc:creator>吴建永</dc:creator>
  <cp:lastModifiedBy>陈星瞳</cp:lastModifiedBy>
  <dcterms:modified xsi:type="dcterms:W3CDTF">2024-11-07T07:17:26Z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B0ACDB5136B14907A23E2ADB38D3D703</vt:lpwstr>
  </property>
</Properties>
</file>